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FC" w:rsidRDefault="003067FC" w:rsidP="003C3553">
      <w:pPr>
        <w:pStyle w:val="Heading2"/>
        <w:rPr>
          <w:rFonts w:eastAsia="Arial"/>
          <w:w w:val="105"/>
          <w:lang w:val="en-US"/>
        </w:rPr>
      </w:pPr>
    </w:p>
    <w:p w:rsidR="003067FC" w:rsidRDefault="003067FC" w:rsidP="003C3553">
      <w:pPr>
        <w:pStyle w:val="Heading2"/>
        <w:rPr>
          <w:rFonts w:eastAsia="Arial"/>
          <w:w w:val="105"/>
          <w:lang w:val="en-US"/>
        </w:rPr>
      </w:pPr>
    </w:p>
    <w:p w:rsidR="003067FC" w:rsidRPr="00760996" w:rsidRDefault="003067FC" w:rsidP="003067FC">
      <w:pPr>
        <w:widowControl w:val="0"/>
        <w:autoSpaceDE w:val="0"/>
        <w:autoSpaceDN w:val="0"/>
        <w:spacing w:after="0" w:line="240" w:lineRule="auto"/>
        <w:rPr>
          <w:rFonts w:ascii="Times New Roman" w:eastAsia="Arial" w:hAnsi="Arial" w:cs="Arial"/>
          <w:sz w:val="20"/>
          <w:szCs w:val="21"/>
          <w:lang w:val="en-US"/>
        </w:rPr>
      </w:pPr>
      <w:r w:rsidRPr="00760996">
        <w:rPr>
          <w:rFonts w:ascii="Arial" w:eastAsia="Calibri" w:hAnsi="Arial" w:cs="Arial"/>
          <w:noProof/>
          <w:color w:val="262626"/>
          <w:sz w:val="28"/>
          <w:szCs w:val="28"/>
          <w:lang w:eastAsia="en-GB"/>
        </w:rPr>
        <w:drawing>
          <wp:anchor distT="0" distB="0" distL="114300" distR="114300" simplePos="0" relativeHeight="251669504" behindDoc="1" locked="0" layoutInCell="1" allowOverlap="1" wp14:anchorId="00F8E178" wp14:editId="66EE63D3">
            <wp:simplePos x="0" y="0"/>
            <wp:positionH relativeFrom="column">
              <wp:posOffset>2597785</wp:posOffset>
            </wp:positionH>
            <wp:positionV relativeFrom="paragraph">
              <wp:posOffset>24130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6" name="Picture 6"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7FC" w:rsidRPr="00760996" w:rsidRDefault="003067FC" w:rsidP="003067FC">
      <w:pPr>
        <w:widowControl w:val="0"/>
        <w:autoSpaceDE w:val="0"/>
        <w:autoSpaceDN w:val="0"/>
        <w:spacing w:after="0" w:line="240" w:lineRule="auto"/>
        <w:rPr>
          <w:rFonts w:ascii="Times New Roman" w:eastAsia="Arial" w:hAnsi="Arial" w:cs="Arial"/>
          <w:sz w:val="20"/>
          <w:szCs w:val="21"/>
          <w:lang w:val="en-US"/>
        </w:rPr>
      </w:pPr>
    </w:p>
    <w:p w:rsidR="003067FC" w:rsidRPr="00760996" w:rsidRDefault="003067FC" w:rsidP="003067FC">
      <w:pPr>
        <w:widowControl w:val="0"/>
        <w:autoSpaceDE w:val="0"/>
        <w:autoSpaceDN w:val="0"/>
        <w:spacing w:before="1" w:after="0" w:line="240" w:lineRule="auto"/>
        <w:rPr>
          <w:rFonts w:ascii="Times New Roman" w:eastAsia="Arial" w:hAnsi="Arial" w:cs="Arial"/>
          <w:sz w:val="20"/>
          <w:szCs w:val="21"/>
          <w:lang w:val="en-US"/>
        </w:rPr>
      </w:pPr>
    </w:p>
    <w:p w:rsidR="003067FC" w:rsidRPr="00760996" w:rsidRDefault="003067FC" w:rsidP="003067FC">
      <w:pPr>
        <w:widowControl w:val="0"/>
        <w:autoSpaceDE w:val="0"/>
        <w:autoSpaceDN w:val="0"/>
        <w:spacing w:after="0" w:line="240" w:lineRule="auto"/>
        <w:ind w:left="3592"/>
        <w:rPr>
          <w:rFonts w:ascii="Times New Roman" w:eastAsia="Arial" w:hAnsi="Arial" w:cs="Arial"/>
          <w:sz w:val="20"/>
          <w:szCs w:val="21"/>
          <w:lang w:val="en-US"/>
        </w:rPr>
      </w:pPr>
    </w:p>
    <w:p w:rsidR="003067FC" w:rsidRPr="00760996" w:rsidRDefault="003067FC" w:rsidP="003067FC">
      <w:pPr>
        <w:widowControl w:val="0"/>
        <w:autoSpaceDE w:val="0"/>
        <w:autoSpaceDN w:val="0"/>
        <w:spacing w:after="0" w:line="240" w:lineRule="auto"/>
        <w:rPr>
          <w:rFonts w:ascii="Times New Roman" w:eastAsia="Arial" w:hAnsi="Arial" w:cs="Arial"/>
          <w:sz w:val="20"/>
          <w:szCs w:val="21"/>
          <w:lang w:val="en-US"/>
        </w:rPr>
      </w:pPr>
    </w:p>
    <w:p w:rsidR="003067FC" w:rsidRPr="00760996" w:rsidRDefault="003067FC" w:rsidP="003067FC">
      <w:pPr>
        <w:widowControl w:val="0"/>
        <w:autoSpaceDE w:val="0"/>
        <w:autoSpaceDN w:val="0"/>
        <w:spacing w:after="0" w:line="240" w:lineRule="auto"/>
        <w:rPr>
          <w:rFonts w:ascii="Times New Roman" w:eastAsia="Arial" w:hAnsi="Arial" w:cs="Arial"/>
          <w:sz w:val="20"/>
          <w:szCs w:val="21"/>
          <w:lang w:val="en-US"/>
        </w:rPr>
      </w:pPr>
    </w:p>
    <w:p w:rsidR="003067FC" w:rsidRPr="00760996" w:rsidRDefault="003067FC" w:rsidP="003067FC">
      <w:pPr>
        <w:widowControl w:val="0"/>
        <w:autoSpaceDE w:val="0"/>
        <w:autoSpaceDN w:val="0"/>
        <w:spacing w:after="0" w:line="240" w:lineRule="auto"/>
        <w:rPr>
          <w:rFonts w:ascii="Times New Roman" w:eastAsia="Arial" w:hAnsi="Arial" w:cs="Arial"/>
          <w:sz w:val="20"/>
          <w:szCs w:val="21"/>
          <w:lang w:val="en-US"/>
        </w:rPr>
      </w:pPr>
    </w:p>
    <w:p w:rsidR="003067FC" w:rsidRPr="00760996" w:rsidRDefault="003067FC" w:rsidP="003067FC">
      <w:pPr>
        <w:widowControl w:val="0"/>
        <w:autoSpaceDE w:val="0"/>
        <w:autoSpaceDN w:val="0"/>
        <w:spacing w:before="11" w:after="0" w:line="240" w:lineRule="auto"/>
        <w:rPr>
          <w:rFonts w:ascii="Times New Roman" w:eastAsia="Arial" w:hAnsi="Arial" w:cs="Arial"/>
          <w:sz w:val="21"/>
          <w:szCs w:val="21"/>
          <w:lang w:val="en-US"/>
        </w:rPr>
      </w:pPr>
    </w:p>
    <w:p w:rsidR="003067FC" w:rsidRPr="00760996" w:rsidRDefault="003067FC" w:rsidP="003067FC">
      <w:pPr>
        <w:widowControl w:val="0"/>
        <w:autoSpaceDE w:val="0"/>
        <w:autoSpaceDN w:val="0"/>
        <w:spacing w:before="31" w:after="0" w:line="240" w:lineRule="auto"/>
        <w:ind w:left="2673" w:right="2449"/>
        <w:jc w:val="center"/>
        <w:rPr>
          <w:rFonts w:ascii="Arial" w:eastAsia="Arial" w:hAnsi="Arial" w:cs="Arial"/>
          <w:b/>
          <w:sz w:val="40"/>
          <w:lang w:val="en-US"/>
        </w:rPr>
      </w:pPr>
    </w:p>
    <w:p w:rsidR="003067FC" w:rsidRPr="00760996" w:rsidRDefault="003067FC" w:rsidP="003067FC">
      <w:pPr>
        <w:widowControl w:val="0"/>
        <w:autoSpaceDE w:val="0"/>
        <w:autoSpaceDN w:val="0"/>
        <w:spacing w:before="31" w:after="0" w:line="240" w:lineRule="auto"/>
        <w:ind w:left="2673" w:right="2449"/>
        <w:jc w:val="center"/>
        <w:rPr>
          <w:rFonts w:ascii="Arial" w:eastAsia="Arial" w:hAnsi="Arial" w:cs="Arial"/>
          <w:b/>
          <w:sz w:val="40"/>
          <w:lang w:val="en-US"/>
        </w:rPr>
      </w:pPr>
    </w:p>
    <w:p w:rsidR="003067FC" w:rsidRPr="00760996" w:rsidRDefault="003067FC" w:rsidP="003067FC">
      <w:pPr>
        <w:widowControl w:val="0"/>
        <w:autoSpaceDE w:val="0"/>
        <w:autoSpaceDN w:val="0"/>
        <w:spacing w:before="31" w:after="0" w:line="240" w:lineRule="auto"/>
        <w:ind w:left="2673" w:right="2449"/>
        <w:jc w:val="center"/>
        <w:rPr>
          <w:rFonts w:ascii="Arial" w:eastAsia="Arial" w:hAnsi="Arial" w:cs="Arial"/>
          <w:b/>
          <w:sz w:val="40"/>
          <w:lang w:val="en-US"/>
        </w:rPr>
      </w:pPr>
    </w:p>
    <w:p w:rsidR="003067FC" w:rsidRPr="00760996" w:rsidRDefault="003067FC" w:rsidP="003067FC">
      <w:pPr>
        <w:widowControl w:val="0"/>
        <w:autoSpaceDE w:val="0"/>
        <w:autoSpaceDN w:val="0"/>
        <w:spacing w:before="31" w:after="0" w:line="240" w:lineRule="auto"/>
        <w:ind w:left="2673" w:right="2449"/>
        <w:jc w:val="center"/>
        <w:rPr>
          <w:rFonts w:ascii="Arial" w:eastAsia="Arial" w:hAnsi="Arial" w:cs="Arial"/>
          <w:b/>
          <w:sz w:val="40"/>
          <w:lang w:val="en-US"/>
        </w:rPr>
      </w:pPr>
    </w:p>
    <w:p w:rsidR="003067FC" w:rsidRPr="000E1494" w:rsidRDefault="003067FC" w:rsidP="001D1BA8">
      <w:pPr>
        <w:widowControl w:val="0"/>
        <w:autoSpaceDE w:val="0"/>
        <w:autoSpaceDN w:val="0"/>
        <w:spacing w:before="31" w:after="0" w:line="240" w:lineRule="auto"/>
        <w:ind w:left="2673" w:right="2449"/>
        <w:jc w:val="center"/>
        <w:rPr>
          <w:rFonts w:ascii="Arial" w:eastAsia="Arial" w:hAnsi="Arial" w:cs="Arial"/>
          <w:b/>
          <w:color w:val="548DD4" w:themeColor="text2" w:themeTint="99"/>
          <w:sz w:val="52"/>
          <w:szCs w:val="52"/>
          <w:lang w:val="en-US"/>
        </w:rPr>
      </w:pPr>
      <w:r w:rsidRPr="00BA7666">
        <w:rPr>
          <w:rFonts w:ascii="Arial" w:eastAsia="Arial" w:hAnsi="Arial" w:cs="Arial"/>
          <w:b/>
          <w:color w:val="548DD4" w:themeColor="text2" w:themeTint="99"/>
          <w:sz w:val="52"/>
          <w:szCs w:val="52"/>
          <w:lang w:val="en-US"/>
        </w:rPr>
        <w:t xml:space="preserve">Pupil Premium </w:t>
      </w:r>
      <w:r w:rsidR="001D1BA8" w:rsidRPr="000E1494">
        <w:rPr>
          <w:rFonts w:ascii="Arial" w:eastAsia="Arial" w:hAnsi="Arial" w:cs="Arial"/>
          <w:b/>
          <w:color w:val="548DD4" w:themeColor="text2" w:themeTint="99"/>
          <w:sz w:val="52"/>
          <w:szCs w:val="52"/>
          <w:lang w:val="en-US"/>
        </w:rPr>
        <w:t>Analysis</w:t>
      </w:r>
      <w:r w:rsidRPr="000E1494">
        <w:rPr>
          <w:rFonts w:ascii="Arial" w:eastAsia="Arial" w:hAnsi="Arial" w:cs="Arial"/>
          <w:b/>
          <w:color w:val="548DD4" w:themeColor="text2" w:themeTint="99"/>
          <w:sz w:val="52"/>
          <w:szCs w:val="52"/>
          <w:lang w:val="en-US"/>
        </w:rPr>
        <w:t xml:space="preserve"> Report</w:t>
      </w:r>
    </w:p>
    <w:p w:rsidR="003067FC" w:rsidRPr="000E1494" w:rsidRDefault="003067FC" w:rsidP="001D1BA8">
      <w:pPr>
        <w:widowControl w:val="0"/>
        <w:autoSpaceDE w:val="0"/>
        <w:autoSpaceDN w:val="0"/>
        <w:spacing w:before="31" w:after="0" w:line="240" w:lineRule="auto"/>
        <w:ind w:left="2673" w:right="2449"/>
        <w:jc w:val="center"/>
        <w:rPr>
          <w:rFonts w:ascii="Arial" w:eastAsia="Arial" w:hAnsi="Arial" w:cs="Arial"/>
          <w:b/>
          <w:color w:val="548DD4" w:themeColor="text2" w:themeTint="99"/>
          <w:sz w:val="52"/>
          <w:szCs w:val="52"/>
          <w:lang w:val="en-US"/>
        </w:rPr>
      </w:pPr>
    </w:p>
    <w:p w:rsidR="003067FC" w:rsidRPr="000E1494" w:rsidRDefault="003067FC" w:rsidP="001D1BA8">
      <w:pPr>
        <w:widowControl w:val="0"/>
        <w:autoSpaceDE w:val="0"/>
        <w:autoSpaceDN w:val="0"/>
        <w:spacing w:before="31" w:after="0" w:line="240" w:lineRule="auto"/>
        <w:ind w:left="2673" w:right="2449"/>
        <w:jc w:val="center"/>
        <w:rPr>
          <w:rFonts w:ascii="Arial" w:eastAsia="Arial" w:hAnsi="Arial" w:cs="Arial"/>
          <w:b/>
          <w:color w:val="548DD4" w:themeColor="text2" w:themeTint="99"/>
          <w:sz w:val="52"/>
          <w:szCs w:val="52"/>
          <w:lang w:val="en-US"/>
        </w:rPr>
      </w:pPr>
    </w:p>
    <w:p w:rsidR="003067FC" w:rsidRPr="000E1494" w:rsidRDefault="00F33968" w:rsidP="001D1BA8">
      <w:pPr>
        <w:widowControl w:val="0"/>
        <w:autoSpaceDE w:val="0"/>
        <w:autoSpaceDN w:val="0"/>
        <w:spacing w:before="31" w:after="0" w:line="240" w:lineRule="auto"/>
        <w:ind w:left="2673" w:right="2449"/>
        <w:jc w:val="center"/>
        <w:rPr>
          <w:rFonts w:ascii="Arial" w:eastAsia="Arial" w:hAnsi="Arial" w:cs="Arial"/>
          <w:b/>
          <w:color w:val="548DD4" w:themeColor="text2" w:themeTint="99"/>
          <w:sz w:val="52"/>
          <w:szCs w:val="52"/>
          <w:lang w:val="en-US"/>
        </w:rPr>
      </w:pPr>
      <w:r w:rsidRPr="000E1494">
        <w:rPr>
          <w:rFonts w:ascii="Arial" w:eastAsia="Arial" w:hAnsi="Arial" w:cs="Arial"/>
          <w:b/>
          <w:color w:val="548DD4" w:themeColor="text2" w:themeTint="99"/>
          <w:sz w:val="52"/>
          <w:szCs w:val="52"/>
          <w:lang w:val="en-US"/>
        </w:rPr>
        <w:t>2018-19</w:t>
      </w:r>
    </w:p>
    <w:p w:rsidR="003067FC" w:rsidRPr="000E1494" w:rsidRDefault="003067FC" w:rsidP="001D1BA8">
      <w:pPr>
        <w:widowControl w:val="0"/>
        <w:autoSpaceDE w:val="0"/>
        <w:autoSpaceDN w:val="0"/>
        <w:spacing w:after="0" w:line="240" w:lineRule="auto"/>
        <w:jc w:val="center"/>
        <w:rPr>
          <w:rFonts w:ascii="Arial" w:eastAsia="Arial" w:hAnsi="Arial" w:cs="Arial"/>
          <w:b/>
          <w:color w:val="548DD4" w:themeColor="text2" w:themeTint="99"/>
          <w:sz w:val="52"/>
          <w:szCs w:val="52"/>
          <w:lang w:val="en-US"/>
        </w:rPr>
      </w:pPr>
    </w:p>
    <w:p w:rsidR="003067FC" w:rsidRPr="000E1494" w:rsidRDefault="003067FC" w:rsidP="001D1BA8">
      <w:pPr>
        <w:widowControl w:val="0"/>
        <w:autoSpaceDE w:val="0"/>
        <w:autoSpaceDN w:val="0"/>
        <w:spacing w:after="0" w:line="240" w:lineRule="auto"/>
        <w:jc w:val="center"/>
        <w:rPr>
          <w:rFonts w:ascii="Arial" w:eastAsia="Arial" w:hAnsi="Arial" w:cs="Arial"/>
          <w:b/>
          <w:color w:val="548DD4" w:themeColor="text2" w:themeTint="99"/>
          <w:sz w:val="52"/>
          <w:szCs w:val="52"/>
          <w:lang w:val="en-US"/>
        </w:rPr>
      </w:pPr>
    </w:p>
    <w:p w:rsidR="003067FC" w:rsidRPr="000E1494" w:rsidRDefault="003067FC" w:rsidP="001D1BA8">
      <w:pPr>
        <w:widowControl w:val="0"/>
        <w:autoSpaceDE w:val="0"/>
        <w:autoSpaceDN w:val="0"/>
        <w:spacing w:before="334" w:after="0" w:line="240" w:lineRule="auto"/>
        <w:ind w:left="2672" w:right="2449"/>
        <w:jc w:val="center"/>
        <w:rPr>
          <w:rFonts w:ascii="Arial" w:eastAsia="Arial" w:hAnsi="Arial" w:cs="Arial"/>
          <w:b/>
          <w:color w:val="548DD4" w:themeColor="text2" w:themeTint="99"/>
          <w:sz w:val="52"/>
          <w:szCs w:val="52"/>
          <w:lang w:val="en-US"/>
        </w:rPr>
      </w:pPr>
      <w:r w:rsidRPr="000E1494">
        <w:rPr>
          <w:rFonts w:ascii="Arial" w:eastAsia="Arial" w:hAnsi="Arial" w:cs="Arial"/>
          <w:b/>
          <w:color w:val="548DD4" w:themeColor="text2" w:themeTint="99"/>
          <w:sz w:val="52"/>
          <w:szCs w:val="52"/>
          <w:lang w:val="en-US"/>
        </w:rPr>
        <w:t>Ashley High School</w:t>
      </w:r>
    </w:p>
    <w:p w:rsidR="003067FC" w:rsidRPr="000E1494" w:rsidRDefault="003067FC" w:rsidP="003067FC">
      <w:pPr>
        <w:widowControl w:val="0"/>
        <w:autoSpaceDE w:val="0"/>
        <w:autoSpaceDN w:val="0"/>
        <w:spacing w:after="0" w:line="240" w:lineRule="auto"/>
        <w:rPr>
          <w:rFonts w:ascii="Arial" w:eastAsia="Arial" w:hAnsi="Arial" w:cs="Arial"/>
          <w:b/>
          <w:color w:val="548DD4" w:themeColor="text2" w:themeTint="99"/>
          <w:sz w:val="20"/>
          <w:szCs w:val="21"/>
          <w:lang w:val="en-US"/>
        </w:rPr>
      </w:pPr>
    </w:p>
    <w:p w:rsidR="003067FC" w:rsidRPr="000E1494" w:rsidRDefault="003067FC" w:rsidP="003067FC">
      <w:pPr>
        <w:widowControl w:val="0"/>
        <w:autoSpaceDE w:val="0"/>
        <w:autoSpaceDN w:val="0"/>
        <w:spacing w:after="0" w:line="240" w:lineRule="auto"/>
        <w:rPr>
          <w:rFonts w:ascii="Arial" w:eastAsia="Arial" w:hAnsi="Arial" w:cs="Arial"/>
          <w:b/>
          <w:color w:val="548DD4" w:themeColor="text2" w:themeTint="99"/>
          <w:sz w:val="20"/>
          <w:szCs w:val="21"/>
          <w:lang w:val="en-US"/>
        </w:rPr>
      </w:pPr>
    </w:p>
    <w:p w:rsidR="003067FC" w:rsidRPr="000E1494" w:rsidRDefault="003067FC" w:rsidP="003067FC">
      <w:pPr>
        <w:widowControl w:val="0"/>
        <w:autoSpaceDE w:val="0"/>
        <w:autoSpaceDN w:val="0"/>
        <w:spacing w:after="0" w:line="240" w:lineRule="auto"/>
        <w:rPr>
          <w:rFonts w:ascii="Arial" w:eastAsia="Arial" w:hAnsi="Arial" w:cs="Arial"/>
          <w:b/>
          <w:color w:val="548DD4" w:themeColor="text2" w:themeTint="99"/>
          <w:sz w:val="20"/>
          <w:szCs w:val="21"/>
          <w:lang w:val="en-US"/>
        </w:rPr>
      </w:pPr>
    </w:p>
    <w:p w:rsidR="003067FC" w:rsidRPr="000E1494" w:rsidRDefault="003067FC" w:rsidP="003067FC">
      <w:pPr>
        <w:widowControl w:val="0"/>
        <w:autoSpaceDE w:val="0"/>
        <w:autoSpaceDN w:val="0"/>
        <w:spacing w:after="0" w:line="240" w:lineRule="auto"/>
        <w:rPr>
          <w:rFonts w:ascii="Arial" w:eastAsia="Arial" w:hAnsi="Arial" w:cs="Arial"/>
          <w:b/>
          <w:color w:val="548DD4" w:themeColor="text2" w:themeTint="99"/>
          <w:sz w:val="20"/>
          <w:szCs w:val="21"/>
          <w:lang w:val="en-US"/>
        </w:rPr>
      </w:pPr>
    </w:p>
    <w:p w:rsidR="00F33968" w:rsidRPr="000E1494" w:rsidRDefault="003067FC" w:rsidP="003067FC">
      <w:pPr>
        <w:spacing w:before="100" w:beforeAutospacing="1" w:after="100" w:afterAutospacing="1" w:line="240" w:lineRule="auto"/>
        <w:jc w:val="center"/>
        <w:rPr>
          <w:rFonts w:ascii="Arial" w:eastAsia="MS Mincho" w:hAnsi="Arial" w:cs="Arial"/>
          <w:color w:val="548DD4" w:themeColor="text2" w:themeTint="99"/>
          <w:sz w:val="24"/>
          <w:szCs w:val="24"/>
        </w:rPr>
      </w:pPr>
      <w:r w:rsidRPr="000E1494">
        <w:rPr>
          <w:rFonts w:ascii="Arial" w:eastAsia="MS Mincho" w:hAnsi="Arial" w:cs="Arial"/>
          <w:color w:val="548DD4" w:themeColor="text2" w:themeTint="99"/>
          <w:sz w:val="24"/>
          <w:szCs w:val="24"/>
        </w:rPr>
        <w:t xml:space="preserve">This </w:t>
      </w:r>
      <w:r w:rsidR="00F33968" w:rsidRPr="000E1494">
        <w:rPr>
          <w:rFonts w:ascii="Arial" w:eastAsia="MS Mincho" w:hAnsi="Arial" w:cs="Arial"/>
          <w:color w:val="548DD4" w:themeColor="text2" w:themeTint="99"/>
          <w:sz w:val="24"/>
          <w:szCs w:val="24"/>
        </w:rPr>
        <w:t>report was compiled October 2019</w:t>
      </w:r>
    </w:p>
    <w:p w:rsidR="003067FC" w:rsidRDefault="002D1734" w:rsidP="003067FC">
      <w:pPr>
        <w:spacing w:before="100" w:beforeAutospacing="1" w:after="100" w:afterAutospacing="1" w:line="240" w:lineRule="auto"/>
        <w:jc w:val="center"/>
        <w:rPr>
          <w:rFonts w:ascii="Arial" w:eastAsia="MS Mincho" w:hAnsi="Arial" w:cs="Arial"/>
          <w:color w:val="548DD4" w:themeColor="text2" w:themeTint="99"/>
          <w:sz w:val="24"/>
          <w:szCs w:val="24"/>
        </w:rPr>
      </w:pPr>
      <w:r w:rsidRPr="000E1494">
        <w:rPr>
          <w:rFonts w:ascii="Arial" w:eastAsia="MS Mincho" w:hAnsi="Arial" w:cs="Arial"/>
          <w:color w:val="548DD4" w:themeColor="text2" w:themeTint="99"/>
          <w:sz w:val="24"/>
          <w:szCs w:val="24"/>
        </w:rPr>
        <w:t>To</w:t>
      </w:r>
      <w:r w:rsidR="003067FC" w:rsidRPr="000E1494">
        <w:rPr>
          <w:rFonts w:ascii="Arial" w:eastAsia="MS Mincho" w:hAnsi="Arial" w:cs="Arial"/>
          <w:color w:val="548DD4" w:themeColor="text2" w:themeTint="99"/>
          <w:sz w:val="24"/>
          <w:szCs w:val="24"/>
        </w:rPr>
        <w:t xml:space="preserve"> be reviewed: </w:t>
      </w:r>
      <w:r w:rsidR="00C3511D" w:rsidRPr="000E1494">
        <w:rPr>
          <w:rFonts w:ascii="Arial" w:eastAsia="MS Mincho" w:hAnsi="Arial" w:cs="Arial"/>
          <w:color w:val="548DD4" w:themeColor="text2" w:themeTint="99"/>
          <w:sz w:val="24"/>
          <w:szCs w:val="24"/>
        </w:rPr>
        <w:t>October</w:t>
      </w:r>
      <w:r w:rsidR="00F33968" w:rsidRPr="000E1494">
        <w:rPr>
          <w:rFonts w:ascii="Arial" w:eastAsia="MS Mincho" w:hAnsi="Arial" w:cs="Arial"/>
          <w:color w:val="548DD4" w:themeColor="text2" w:themeTint="99"/>
          <w:sz w:val="24"/>
          <w:szCs w:val="24"/>
        </w:rPr>
        <w:t xml:space="preserve"> 2020</w:t>
      </w:r>
    </w:p>
    <w:p w:rsidR="003067FC" w:rsidRPr="00760996" w:rsidRDefault="003067FC" w:rsidP="003067FC">
      <w:pPr>
        <w:widowControl w:val="0"/>
        <w:autoSpaceDE w:val="0"/>
        <w:autoSpaceDN w:val="0"/>
        <w:spacing w:after="0" w:line="240" w:lineRule="auto"/>
        <w:rPr>
          <w:rFonts w:ascii="Arial" w:eastAsia="MS Mincho" w:hAnsi="Arial" w:cs="Arial"/>
          <w:color w:val="7030A0"/>
          <w:sz w:val="24"/>
          <w:szCs w:val="24"/>
        </w:rPr>
      </w:pPr>
    </w:p>
    <w:p w:rsidR="009B7E4E" w:rsidRPr="00760996" w:rsidRDefault="009B7E4E" w:rsidP="003067FC">
      <w:pPr>
        <w:widowControl w:val="0"/>
        <w:autoSpaceDE w:val="0"/>
        <w:autoSpaceDN w:val="0"/>
        <w:spacing w:after="0" w:line="240" w:lineRule="auto"/>
        <w:rPr>
          <w:rFonts w:ascii="Arial" w:eastAsia="MS Mincho" w:hAnsi="Arial" w:cs="Arial"/>
          <w:color w:val="7030A0"/>
          <w:sz w:val="24"/>
          <w:szCs w:val="24"/>
        </w:rPr>
      </w:pPr>
    </w:p>
    <w:p w:rsidR="009B7E4E" w:rsidRPr="00760996" w:rsidRDefault="009B7E4E" w:rsidP="003067FC">
      <w:pPr>
        <w:widowControl w:val="0"/>
        <w:autoSpaceDE w:val="0"/>
        <w:autoSpaceDN w:val="0"/>
        <w:spacing w:after="0" w:line="240" w:lineRule="auto"/>
        <w:rPr>
          <w:rFonts w:ascii="Arial" w:eastAsia="Arial" w:hAnsi="Arial" w:cs="Arial"/>
          <w:b/>
          <w:color w:val="7030A0"/>
          <w:sz w:val="20"/>
          <w:szCs w:val="21"/>
          <w:lang w:val="en-US"/>
        </w:rPr>
      </w:pPr>
    </w:p>
    <w:p w:rsidR="003067FC" w:rsidRPr="00760996" w:rsidRDefault="003067FC" w:rsidP="003067FC">
      <w:pPr>
        <w:widowControl w:val="0"/>
        <w:autoSpaceDE w:val="0"/>
        <w:autoSpaceDN w:val="0"/>
        <w:spacing w:after="0" w:line="240" w:lineRule="auto"/>
        <w:rPr>
          <w:rFonts w:ascii="Arial" w:eastAsia="Arial" w:hAnsi="Arial" w:cs="Arial"/>
          <w:b/>
          <w:color w:val="7030A0"/>
          <w:sz w:val="20"/>
          <w:szCs w:val="21"/>
          <w:lang w:val="en-US"/>
        </w:rPr>
      </w:pPr>
    </w:p>
    <w:p w:rsidR="006505E4" w:rsidRPr="00760996" w:rsidRDefault="006505E4" w:rsidP="006505E4">
      <w:pPr>
        <w:pStyle w:val="IntenseQuote"/>
        <w:rPr>
          <w:color w:val="7030A0"/>
          <w:w w:val="105"/>
          <w:lang w:val="en-US"/>
        </w:rPr>
      </w:pPr>
    </w:p>
    <w:p w:rsidR="006505E4" w:rsidRPr="000E1494" w:rsidRDefault="006505E4" w:rsidP="004A4782">
      <w:pPr>
        <w:pStyle w:val="IntenseQuote"/>
        <w:ind w:left="0"/>
        <w:rPr>
          <w:color w:val="548DD4" w:themeColor="text2" w:themeTint="99"/>
          <w:w w:val="105"/>
          <w:sz w:val="36"/>
          <w:szCs w:val="36"/>
          <w:lang w:val="en-US"/>
        </w:rPr>
      </w:pPr>
      <w:r w:rsidRPr="000E1494">
        <w:rPr>
          <w:color w:val="548DD4" w:themeColor="text2" w:themeTint="99"/>
          <w:w w:val="105"/>
          <w:sz w:val="36"/>
          <w:szCs w:val="36"/>
          <w:lang w:val="en-US"/>
        </w:rPr>
        <w:lastRenderedPageBreak/>
        <w:t>PUPI</w:t>
      </w:r>
      <w:r w:rsidR="00F33968" w:rsidRPr="000E1494">
        <w:rPr>
          <w:color w:val="548DD4" w:themeColor="text2" w:themeTint="99"/>
          <w:w w:val="105"/>
          <w:sz w:val="36"/>
          <w:szCs w:val="36"/>
          <w:lang w:val="en-US"/>
        </w:rPr>
        <w:t>L PREMIUM ANALYSIS REPORT 2018-19</w:t>
      </w:r>
    </w:p>
    <w:p w:rsidR="00FD0110" w:rsidRPr="000E1494" w:rsidRDefault="00FD0110" w:rsidP="003C3553">
      <w:pPr>
        <w:pStyle w:val="Heading2"/>
        <w:rPr>
          <w:rFonts w:eastAsia="Arial"/>
          <w:color w:val="548DD4" w:themeColor="text2" w:themeTint="99"/>
          <w:lang w:val="en-US"/>
        </w:rPr>
      </w:pPr>
      <w:r w:rsidRPr="000E1494">
        <w:rPr>
          <w:rFonts w:eastAsia="Arial"/>
          <w:color w:val="548DD4" w:themeColor="text2" w:themeTint="99"/>
          <w:w w:val="105"/>
          <w:lang w:val="en-US"/>
        </w:rPr>
        <w:t>Who are the Pupil Premium students and what are their barriers to</w:t>
      </w:r>
      <w:r w:rsidR="00F33968" w:rsidRPr="000E1494">
        <w:rPr>
          <w:rFonts w:eastAsia="Arial"/>
          <w:color w:val="548DD4" w:themeColor="text2" w:themeTint="99"/>
          <w:w w:val="105"/>
          <w:lang w:val="en-US"/>
        </w:rPr>
        <w:t xml:space="preserve"> learning 2018-19</w:t>
      </w:r>
      <w:r w:rsidRPr="000E1494">
        <w:rPr>
          <w:rFonts w:eastAsia="Arial"/>
          <w:color w:val="548DD4" w:themeColor="text2" w:themeTint="99"/>
          <w:w w:val="105"/>
          <w:lang w:val="en-US"/>
        </w:rPr>
        <w:t>?</w:t>
      </w:r>
    </w:p>
    <w:p w:rsidR="00FD0110" w:rsidRPr="00760996" w:rsidRDefault="00FD0110" w:rsidP="00FD0110">
      <w:pPr>
        <w:widowControl w:val="0"/>
        <w:autoSpaceDE w:val="0"/>
        <w:autoSpaceDN w:val="0"/>
        <w:spacing w:after="0" w:line="240" w:lineRule="auto"/>
        <w:ind w:right="927"/>
        <w:jc w:val="both"/>
        <w:rPr>
          <w:rFonts w:asciiTheme="majorHAnsi" w:eastAsia="Arial" w:hAnsiTheme="majorHAnsi" w:cs="Arial"/>
          <w:sz w:val="23"/>
          <w:lang w:val="en-US"/>
        </w:rPr>
      </w:pPr>
    </w:p>
    <w:p w:rsidR="00FD0110" w:rsidRPr="00760996" w:rsidRDefault="00FD0110" w:rsidP="003C3553">
      <w:pPr>
        <w:pStyle w:val="Quote"/>
        <w:rPr>
          <w:rFonts w:asciiTheme="majorHAnsi" w:hAnsiTheme="majorHAnsi"/>
          <w:i w:val="0"/>
          <w:color w:val="auto"/>
        </w:rPr>
      </w:pPr>
      <w:r w:rsidRPr="00760996">
        <w:rPr>
          <w:rFonts w:asciiTheme="majorHAnsi" w:hAnsiTheme="majorHAnsi"/>
          <w:i w:val="0"/>
          <w:color w:val="auto"/>
        </w:rPr>
        <w:t xml:space="preserve">All our students have an EHC plan with a diagnosis of Autism and/or Social Communication needs. Many pupils have other additional overlapping needs such as </w:t>
      </w:r>
      <w:proofErr w:type="spellStart"/>
      <w:r w:rsidRPr="00760996">
        <w:rPr>
          <w:rFonts w:asciiTheme="majorHAnsi" w:hAnsiTheme="majorHAnsi"/>
          <w:i w:val="0"/>
          <w:color w:val="auto"/>
        </w:rPr>
        <w:t>SpLD</w:t>
      </w:r>
      <w:proofErr w:type="spellEnd"/>
      <w:r w:rsidRPr="00760996">
        <w:rPr>
          <w:rFonts w:asciiTheme="majorHAnsi" w:hAnsiTheme="majorHAnsi"/>
          <w:i w:val="0"/>
          <w:color w:val="auto"/>
        </w:rPr>
        <w:t xml:space="preserve">, ADHD, Attachment issues or </w:t>
      </w:r>
      <w:r w:rsidR="00C3511D" w:rsidRPr="00760996">
        <w:rPr>
          <w:rFonts w:asciiTheme="majorHAnsi" w:hAnsiTheme="majorHAnsi"/>
          <w:i w:val="0"/>
          <w:color w:val="auto"/>
        </w:rPr>
        <w:t>SEMH (</w:t>
      </w:r>
      <w:r w:rsidRPr="00760996">
        <w:rPr>
          <w:rFonts w:asciiTheme="majorHAnsi" w:hAnsiTheme="majorHAnsi"/>
          <w:i w:val="0"/>
          <w:color w:val="auto"/>
        </w:rPr>
        <w:t>S</w:t>
      </w:r>
      <w:r w:rsidR="00C3511D" w:rsidRPr="00760996">
        <w:rPr>
          <w:rFonts w:asciiTheme="majorHAnsi" w:hAnsiTheme="majorHAnsi"/>
          <w:i w:val="0"/>
          <w:color w:val="auto"/>
        </w:rPr>
        <w:t xml:space="preserve">ocial </w:t>
      </w:r>
      <w:r w:rsidRPr="00760996">
        <w:rPr>
          <w:rFonts w:asciiTheme="majorHAnsi" w:hAnsiTheme="majorHAnsi"/>
          <w:i w:val="0"/>
          <w:color w:val="auto"/>
        </w:rPr>
        <w:t>E</w:t>
      </w:r>
      <w:r w:rsidR="00C3511D" w:rsidRPr="00760996">
        <w:rPr>
          <w:rFonts w:asciiTheme="majorHAnsi" w:hAnsiTheme="majorHAnsi"/>
          <w:i w:val="0"/>
          <w:color w:val="auto"/>
        </w:rPr>
        <w:t xml:space="preserve">motional </w:t>
      </w:r>
      <w:r w:rsidRPr="00760996">
        <w:rPr>
          <w:rFonts w:asciiTheme="majorHAnsi" w:hAnsiTheme="majorHAnsi"/>
          <w:i w:val="0"/>
          <w:color w:val="auto"/>
        </w:rPr>
        <w:t>M</w:t>
      </w:r>
      <w:r w:rsidR="00C3511D" w:rsidRPr="00760996">
        <w:rPr>
          <w:rFonts w:asciiTheme="majorHAnsi" w:hAnsiTheme="majorHAnsi"/>
          <w:i w:val="0"/>
          <w:color w:val="auto"/>
        </w:rPr>
        <w:t xml:space="preserve">ental </w:t>
      </w:r>
      <w:r w:rsidRPr="00760996">
        <w:rPr>
          <w:rFonts w:asciiTheme="majorHAnsi" w:hAnsiTheme="majorHAnsi"/>
          <w:i w:val="0"/>
          <w:color w:val="auto"/>
        </w:rPr>
        <w:t>H</w:t>
      </w:r>
      <w:r w:rsidR="00C3511D" w:rsidRPr="00760996">
        <w:rPr>
          <w:rFonts w:asciiTheme="majorHAnsi" w:hAnsiTheme="majorHAnsi"/>
          <w:i w:val="0"/>
          <w:color w:val="auto"/>
        </w:rPr>
        <w:t>ealth</w:t>
      </w:r>
      <w:r w:rsidR="004A4782" w:rsidRPr="00760996">
        <w:rPr>
          <w:rFonts w:asciiTheme="majorHAnsi" w:hAnsiTheme="majorHAnsi"/>
          <w:i w:val="0"/>
          <w:color w:val="auto"/>
        </w:rPr>
        <w:t>)</w:t>
      </w:r>
      <w:r w:rsidRPr="00760996">
        <w:rPr>
          <w:rFonts w:asciiTheme="majorHAnsi" w:hAnsiTheme="majorHAnsi"/>
          <w:i w:val="0"/>
          <w:color w:val="auto"/>
        </w:rPr>
        <w:t xml:space="preserve">. Many students have associated emotional needs with high levels of anxiety. </w:t>
      </w:r>
    </w:p>
    <w:p w:rsidR="00FD0110" w:rsidRPr="00760996" w:rsidRDefault="00FD0110" w:rsidP="003C3553">
      <w:pPr>
        <w:pStyle w:val="Quote"/>
        <w:rPr>
          <w:rFonts w:asciiTheme="majorHAnsi" w:hAnsiTheme="majorHAnsi"/>
          <w:i w:val="0"/>
          <w:color w:val="auto"/>
        </w:rPr>
      </w:pPr>
      <w:r w:rsidRPr="00760996">
        <w:rPr>
          <w:rFonts w:asciiTheme="majorHAnsi" w:hAnsiTheme="majorHAnsi"/>
          <w:i w:val="0"/>
          <w:color w:val="auto"/>
        </w:rPr>
        <w:t xml:space="preserve">The school holds an accurate SEND register of all pupils and this information is used to assist in data analysis. Comparative data is produced for Pupil Premium versus Non PP students. </w:t>
      </w:r>
    </w:p>
    <w:p w:rsidR="00FD0110" w:rsidRPr="00760996" w:rsidRDefault="00FD0110" w:rsidP="003C3553">
      <w:pPr>
        <w:pStyle w:val="Quote"/>
        <w:rPr>
          <w:rFonts w:asciiTheme="majorHAnsi" w:hAnsiTheme="majorHAnsi"/>
          <w:i w:val="0"/>
          <w:color w:val="auto"/>
        </w:rPr>
      </w:pPr>
      <w:r w:rsidRPr="00760996">
        <w:rPr>
          <w:rFonts w:asciiTheme="majorHAnsi" w:hAnsiTheme="majorHAnsi"/>
          <w:i w:val="0"/>
          <w:color w:val="auto"/>
        </w:rPr>
        <w:t xml:space="preserve">The population in receipt of Pupil Premium funding in the school fluctuates throughout the year. </w:t>
      </w:r>
      <w:r w:rsidR="00F33968" w:rsidRPr="00760996">
        <w:rPr>
          <w:rFonts w:asciiTheme="majorHAnsi" w:hAnsiTheme="majorHAnsi"/>
          <w:i w:val="0"/>
          <w:color w:val="auto"/>
        </w:rPr>
        <w:t xml:space="preserve">For </w:t>
      </w:r>
      <w:r w:rsidR="00D537B3" w:rsidRPr="00760996">
        <w:rPr>
          <w:rFonts w:asciiTheme="majorHAnsi" w:hAnsiTheme="majorHAnsi"/>
          <w:i w:val="0"/>
          <w:color w:val="auto"/>
        </w:rPr>
        <w:t>reporting purposes</w:t>
      </w:r>
      <w:r w:rsidR="00F33968" w:rsidRPr="00760996">
        <w:rPr>
          <w:rFonts w:asciiTheme="majorHAnsi" w:hAnsiTheme="majorHAnsi"/>
          <w:i w:val="0"/>
          <w:color w:val="auto"/>
        </w:rPr>
        <w:t xml:space="preserve"> this 2018-19</w:t>
      </w:r>
      <w:r w:rsidRPr="00760996">
        <w:rPr>
          <w:rFonts w:asciiTheme="majorHAnsi" w:hAnsiTheme="majorHAnsi"/>
          <w:i w:val="0"/>
          <w:color w:val="auto"/>
        </w:rPr>
        <w:t xml:space="preserve"> </w:t>
      </w:r>
      <w:r w:rsidR="00C3511D" w:rsidRPr="00760996">
        <w:rPr>
          <w:rFonts w:asciiTheme="majorHAnsi" w:hAnsiTheme="majorHAnsi"/>
          <w:i w:val="0"/>
          <w:color w:val="auto"/>
        </w:rPr>
        <w:t xml:space="preserve">analysis </w:t>
      </w:r>
      <w:r w:rsidR="00D537B3" w:rsidRPr="00760996">
        <w:rPr>
          <w:rFonts w:asciiTheme="majorHAnsi" w:hAnsiTheme="majorHAnsi"/>
          <w:i w:val="0"/>
          <w:color w:val="auto"/>
        </w:rPr>
        <w:t xml:space="preserve">report is </w:t>
      </w:r>
      <w:r w:rsidR="00025752" w:rsidRPr="00760996">
        <w:rPr>
          <w:rFonts w:asciiTheme="majorHAnsi" w:hAnsiTheme="majorHAnsi"/>
          <w:i w:val="0"/>
          <w:color w:val="auto"/>
        </w:rPr>
        <w:t>b</w:t>
      </w:r>
      <w:r w:rsidR="008A238E" w:rsidRPr="00760996">
        <w:rPr>
          <w:rFonts w:asciiTheme="majorHAnsi" w:hAnsiTheme="majorHAnsi"/>
          <w:i w:val="0"/>
          <w:color w:val="auto"/>
        </w:rPr>
        <w:t>ased on</w:t>
      </w:r>
      <w:r w:rsidR="00F467F3" w:rsidRPr="00760996">
        <w:rPr>
          <w:rFonts w:asciiTheme="majorHAnsi" w:hAnsiTheme="majorHAnsi"/>
          <w:i w:val="0"/>
          <w:color w:val="auto"/>
        </w:rPr>
        <w:t xml:space="preserve"> a total of 80</w:t>
      </w:r>
      <w:r w:rsidRPr="00760996">
        <w:rPr>
          <w:rFonts w:asciiTheme="majorHAnsi" w:hAnsiTheme="majorHAnsi"/>
          <w:i w:val="0"/>
          <w:color w:val="auto"/>
        </w:rPr>
        <w:t xml:space="preserve"> pupils on roll Year 7-11</w:t>
      </w:r>
      <w:r w:rsidR="00D537B3" w:rsidRPr="00760996">
        <w:rPr>
          <w:rFonts w:asciiTheme="majorHAnsi" w:hAnsiTheme="majorHAnsi"/>
          <w:i w:val="0"/>
          <w:color w:val="auto"/>
        </w:rPr>
        <w:t xml:space="preserve">. </w:t>
      </w:r>
    </w:p>
    <w:tbl>
      <w:tblPr>
        <w:tblStyle w:val="TableGrid2"/>
        <w:tblpPr w:leftFromText="180" w:rightFromText="180" w:vertAnchor="text" w:horzAnchor="page" w:tblpX="967" w:tblpY="217"/>
        <w:tblW w:w="0" w:type="auto"/>
        <w:tblLook w:val="04A0" w:firstRow="1" w:lastRow="0" w:firstColumn="1" w:lastColumn="0" w:noHBand="0" w:noVBand="1"/>
      </w:tblPr>
      <w:tblGrid>
        <w:gridCol w:w="4713"/>
        <w:gridCol w:w="1134"/>
        <w:gridCol w:w="4042"/>
      </w:tblGrid>
      <w:tr w:rsidR="001F428C" w:rsidRPr="00760996" w:rsidTr="000E1494">
        <w:tc>
          <w:tcPr>
            <w:tcW w:w="9889" w:type="dxa"/>
            <w:gridSpan w:val="3"/>
            <w:shd w:val="clear" w:color="auto" w:fill="C6D9F1" w:themeFill="text2" w:themeFillTint="33"/>
          </w:tcPr>
          <w:p w:rsidR="001F428C" w:rsidRPr="00760996" w:rsidRDefault="001F428C" w:rsidP="00333CD0">
            <w:pPr>
              <w:tabs>
                <w:tab w:val="left" w:pos="6165"/>
              </w:tabs>
              <w:rPr>
                <w:b/>
                <w:sz w:val="24"/>
                <w:szCs w:val="24"/>
              </w:rPr>
            </w:pPr>
            <w:r w:rsidRPr="00760996">
              <w:rPr>
                <w:b/>
                <w:sz w:val="24"/>
                <w:szCs w:val="24"/>
              </w:rPr>
              <w:t>Percentages of eligible pupils (Autumn 2018)</w:t>
            </w:r>
          </w:p>
        </w:tc>
      </w:tr>
      <w:tr w:rsidR="001F428C" w:rsidRPr="00760996" w:rsidTr="00333CD0">
        <w:tc>
          <w:tcPr>
            <w:tcW w:w="4713" w:type="dxa"/>
          </w:tcPr>
          <w:p w:rsidR="001F428C" w:rsidRPr="00760996" w:rsidRDefault="001F428C" w:rsidP="00333CD0">
            <w:pPr>
              <w:tabs>
                <w:tab w:val="left" w:pos="6165"/>
              </w:tabs>
            </w:pPr>
            <w:r w:rsidRPr="00760996">
              <w:t>TOTAL pupils on roll Y7 -11</w:t>
            </w:r>
          </w:p>
        </w:tc>
        <w:tc>
          <w:tcPr>
            <w:tcW w:w="5176" w:type="dxa"/>
            <w:gridSpan w:val="2"/>
          </w:tcPr>
          <w:p w:rsidR="001F428C" w:rsidRPr="00760996" w:rsidRDefault="001F428C" w:rsidP="00333CD0">
            <w:pPr>
              <w:tabs>
                <w:tab w:val="left" w:pos="6165"/>
              </w:tabs>
            </w:pPr>
            <w:r w:rsidRPr="00760996">
              <w:t>80</w:t>
            </w:r>
          </w:p>
        </w:tc>
      </w:tr>
      <w:tr w:rsidR="001F428C" w:rsidRPr="00760996" w:rsidTr="00333CD0">
        <w:tc>
          <w:tcPr>
            <w:tcW w:w="4713" w:type="dxa"/>
          </w:tcPr>
          <w:p w:rsidR="001F428C" w:rsidRPr="00760996" w:rsidRDefault="001F428C" w:rsidP="00333CD0">
            <w:pPr>
              <w:tabs>
                <w:tab w:val="left" w:pos="6165"/>
              </w:tabs>
            </w:pPr>
            <w:r w:rsidRPr="00760996">
              <w:t>Eligible PP pupils</w:t>
            </w:r>
          </w:p>
        </w:tc>
        <w:tc>
          <w:tcPr>
            <w:tcW w:w="5176" w:type="dxa"/>
            <w:gridSpan w:val="2"/>
          </w:tcPr>
          <w:p w:rsidR="001F428C" w:rsidRPr="00760996" w:rsidRDefault="001F428C" w:rsidP="00333CD0">
            <w:pPr>
              <w:tabs>
                <w:tab w:val="left" w:pos="6165"/>
              </w:tabs>
            </w:pPr>
            <w:r w:rsidRPr="00760996">
              <w:t xml:space="preserve">38    </w:t>
            </w:r>
          </w:p>
        </w:tc>
      </w:tr>
      <w:tr w:rsidR="001F428C" w:rsidRPr="00760996" w:rsidTr="00333CD0">
        <w:tc>
          <w:tcPr>
            <w:tcW w:w="4713" w:type="dxa"/>
          </w:tcPr>
          <w:p w:rsidR="001F428C" w:rsidRPr="00760996" w:rsidRDefault="001F428C" w:rsidP="00333CD0">
            <w:pPr>
              <w:tabs>
                <w:tab w:val="left" w:pos="6165"/>
              </w:tabs>
            </w:pPr>
            <w:r w:rsidRPr="00760996">
              <w:t>Overall % (FSM/Ever 6/Post LAC)</w:t>
            </w:r>
          </w:p>
        </w:tc>
        <w:tc>
          <w:tcPr>
            <w:tcW w:w="5176" w:type="dxa"/>
            <w:gridSpan w:val="2"/>
          </w:tcPr>
          <w:p w:rsidR="001F428C" w:rsidRPr="00760996" w:rsidRDefault="001F428C" w:rsidP="00333CD0">
            <w:pPr>
              <w:tabs>
                <w:tab w:val="left" w:pos="6165"/>
              </w:tabs>
            </w:pPr>
            <w:r w:rsidRPr="00760996">
              <w:t>45%</w:t>
            </w:r>
          </w:p>
        </w:tc>
      </w:tr>
      <w:tr w:rsidR="001F428C" w:rsidRPr="00760996" w:rsidTr="00333CD0">
        <w:tc>
          <w:tcPr>
            <w:tcW w:w="4713" w:type="dxa"/>
          </w:tcPr>
          <w:p w:rsidR="001F428C" w:rsidRPr="00760996" w:rsidRDefault="001F428C" w:rsidP="00333CD0">
            <w:pPr>
              <w:tabs>
                <w:tab w:val="left" w:pos="6165"/>
              </w:tabs>
            </w:pPr>
            <w:r w:rsidRPr="00760996">
              <w:t>Overall % (</w:t>
            </w:r>
            <w:proofErr w:type="spellStart"/>
            <w:r w:rsidRPr="00760996">
              <w:t>inc.</w:t>
            </w:r>
            <w:proofErr w:type="spellEnd"/>
            <w:r w:rsidRPr="00760996">
              <w:t xml:space="preserve"> LAC)</w:t>
            </w:r>
          </w:p>
        </w:tc>
        <w:tc>
          <w:tcPr>
            <w:tcW w:w="5176" w:type="dxa"/>
            <w:gridSpan w:val="2"/>
          </w:tcPr>
          <w:p w:rsidR="001F428C" w:rsidRPr="00760996" w:rsidRDefault="001F428C" w:rsidP="00333CD0">
            <w:pPr>
              <w:tabs>
                <w:tab w:val="left" w:pos="6165"/>
              </w:tabs>
            </w:pPr>
            <w:r w:rsidRPr="00760996">
              <w:t xml:space="preserve">47.5% </w:t>
            </w:r>
          </w:p>
        </w:tc>
      </w:tr>
      <w:tr w:rsidR="001F428C" w:rsidRPr="00760996" w:rsidTr="000E1494">
        <w:tc>
          <w:tcPr>
            <w:tcW w:w="9889" w:type="dxa"/>
            <w:gridSpan w:val="3"/>
            <w:shd w:val="clear" w:color="auto" w:fill="C6D9F1" w:themeFill="text2" w:themeFillTint="33"/>
          </w:tcPr>
          <w:p w:rsidR="001F428C" w:rsidRPr="00760996" w:rsidRDefault="001F428C" w:rsidP="00333CD0">
            <w:pPr>
              <w:tabs>
                <w:tab w:val="left" w:pos="6165"/>
              </w:tabs>
              <w:rPr>
                <w:b/>
                <w:sz w:val="24"/>
                <w:szCs w:val="24"/>
              </w:rPr>
            </w:pPr>
            <w:r w:rsidRPr="00760996">
              <w:rPr>
                <w:b/>
                <w:sz w:val="24"/>
                <w:szCs w:val="24"/>
              </w:rPr>
              <w:t>Of these eligible pupils (38)</w:t>
            </w:r>
          </w:p>
        </w:tc>
      </w:tr>
      <w:tr w:rsidR="001F428C" w:rsidRPr="00760996" w:rsidTr="00333CD0">
        <w:tc>
          <w:tcPr>
            <w:tcW w:w="4713" w:type="dxa"/>
          </w:tcPr>
          <w:p w:rsidR="001F428C" w:rsidRPr="00760996" w:rsidRDefault="001F428C" w:rsidP="00333CD0">
            <w:pPr>
              <w:tabs>
                <w:tab w:val="left" w:pos="6165"/>
              </w:tabs>
            </w:pPr>
            <w:r w:rsidRPr="00760996">
              <w:t>FSM</w:t>
            </w:r>
          </w:p>
        </w:tc>
        <w:tc>
          <w:tcPr>
            <w:tcW w:w="1134" w:type="dxa"/>
          </w:tcPr>
          <w:p w:rsidR="001F428C" w:rsidRPr="00760996" w:rsidRDefault="001F428C" w:rsidP="00333CD0">
            <w:pPr>
              <w:tabs>
                <w:tab w:val="left" w:pos="6165"/>
              </w:tabs>
            </w:pPr>
            <w:r w:rsidRPr="00760996">
              <w:t>66%</w:t>
            </w:r>
          </w:p>
        </w:tc>
        <w:tc>
          <w:tcPr>
            <w:tcW w:w="4042" w:type="dxa"/>
            <w:vMerge w:val="restart"/>
          </w:tcPr>
          <w:p w:rsidR="001F428C" w:rsidRPr="00760996" w:rsidRDefault="001F428C" w:rsidP="00333CD0">
            <w:pPr>
              <w:tabs>
                <w:tab w:val="left" w:pos="6165"/>
              </w:tabs>
            </w:pPr>
            <w:r w:rsidRPr="00760996">
              <w:t>90% in total</w:t>
            </w:r>
          </w:p>
        </w:tc>
      </w:tr>
      <w:tr w:rsidR="001F428C" w:rsidRPr="00760996" w:rsidTr="00333CD0">
        <w:tc>
          <w:tcPr>
            <w:tcW w:w="4713" w:type="dxa"/>
          </w:tcPr>
          <w:p w:rsidR="001F428C" w:rsidRPr="00760996" w:rsidRDefault="001F428C" w:rsidP="00333CD0">
            <w:pPr>
              <w:tabs>
                <w:tab w:val="left" w:pos="6165"/>
              </w:tabs>
            </w:pPr>
            <w:r w:rsidRPr="00760996">
              <w:t>Ever 6</w:t>
            </w:r>
          </w:p>
        </w:tc>
        <w:tc>
          <w:tcPr>
            <w:tcW w:w="1134" w:type="dxa"/>
          </w:tcPr>
          <w:p w:rsidR="001F428C" w:rsidRPr="00760996" w:rsidRDefault="001F428C" w:rsidP="00333CD0">
            <w:pPr>
              <w:tabs>
                <w:tab w:val="left" w:pos="6165"/>
              </w:tabs>
            </w:pPr>
            <w:r w:rsidRPr="00760996">
              <w:t>24%</w:t>
            </w:r>
          </w:p>
        </w:tc>
        <w:tc>
          <w:tcPr>
            <w:tcW w:w="4042" w:type="dxa"/>
            <w:vMerge/>
          </w:tcPr>
          <w:p w:rsidR="001F428C" w:rsidRPr="00760996" w:rsidRDefault="001F428C" w:rsidP="00333CD0">
            <w:pPr>
              <w:tabs>
                <w:tab w:val="left" w:pos="6165"/>
              </w:tabs>
            </w:pPr>
          </w:p>
        </w:tc>
      </w:tr>
      <w:tr w:rsidR="001F428C" w:rsidRPr="00760996" w:rsidTr="00333CD0">
        <w:tc>
          <w:tcPr>
            <w:tcW w:w="4713" w:type="dxa"/>
          </w:tcPr>
          <w:p w:rsidR="001F428C" w:rsidRPr="00760996" w:rsidRDefault="001F428C" w:rsidP="00333CD0">
            <w:pPr>
              <w:tabs>
                <w:tab w:val="left" w:pos="6165"/>
              </w:tabs>
            </w:pPr>
            <w:r w:rsidRPr="00760996">
              <w:t>LAC</w:t>
            </w:r>
          </w:p>
        </w:tc>
        <w:tc>
          <w:tcPr>
            <w:tcW w:w="5176" w:type="dxa"/>
            <w:gridSpan w:val="2"/>
          </w:tcPr>
          <w:p w:rsidR="001F428C" w:rsidRPr="00760996" w:rsidRDefault="001F428C" w:rsidP="00333CD0">
            <w:pPr>
              <w:tabs>
                <w:tab w:val="left" w:pos="6165"/>
              </w:tabs>
            </w:pPr>
            <w:r w:rsidRPr="00760996">
              <w:t>5%</w:t>
            </w:r>
          </w:p>
        </w:tc>
      </w:tr>
      <w:tr w:rsidR="001F428C" w:rsidRPr="00760996" w:rsidTr="00333CD0">
        <w:tc>
          <w:tcPr>
            <w:tcW w:w="4713" w:type="dxa"/>
          </w:tcPr>
          <w:p w:rsidR="001F428C" w:rsidRPr="00760996" w:rsidRDefault="001F428C" w:rsidP="00333CD0">
            <w:pPr>
              <w:tabs>
                <w:tab w:val="left" w:pos="6165"/>
              </w:tabs>
            </w:pPr>
            <w:r w:rsidRPr="00760996">
              <w:t>Post LAC</w:t>
            </w:r>
          </w:p>
        </w:tc>
        <w:tc>
          <w:tcPr>
            <w:tcW w:w="5176" w:type="dxa"/>
            <w:gridSpan w:val="2"/>
          </w:tcPr>
          <w:p w:rsidR="001F428C" w:rsidRPr="00760996" w:rsidRDefault="001F428C" w:rsidP="00333CD0">
            <w:pPr>
              <w:tabs>
                <w:tab w:val="left" w:pos="6165"/>
              </w:tabs>
            </w:pPr>
            <w:r w:rsidRPr="00760996">
              <w:t>5%</w:t>
            </w:r>
          </w:p>
        </w:tc>
      </w:tr>
      <w:tr w:rsidR="001F428C" w:rsidRPr="00760996" w:rsidTr="00333CD0">
        <w:tc>
          <w:tcPr>
            <w:tcW w:w="4713" w:type="dxa"/>
          </w:tcPr>
          <w:p w:rsidR="001F428C" w:rsidRPr="00760996" w:rsidRDefault="001F428C" w:rsidP="00333CD0">
            <w:pPr>
              <w:tabs>
                <w:tab w:val="left" w:pos="6165"/>
              </w:tabs>
            </w:pPr>
            <w:r w:rsidRPr="00760996">
              <w:t>Armed Forces</w:t>
            </w:r>
          </w:p>
        </w:tc>
        <w:tc>
          <w:tcPr>
            <w:tcW w:w="5176" w:type="dxa"/>
            <w:gridSpan w:val="2"/>
          </w:tcPr>
          <w:p w:rsidR="001F428C" w:rsidRPr="00760996" w:rsidRDefault="001F428C" w:rsidP="00333CD0">
            <w:pPr>
              <w:tabs>
                <w:tab w:val="left" w:pos="6165"/>
              </w:tabs>
            </w:pPr>
            <w:r w:rsidRPr="00760996">
              <w:t>0%</w:t>
            </w:r>
          </w:p>
        </w:tc>
      </w:tr>
    </w:tbl>
    <w:p w:rsidR="001F428C" w:rsidRPr="00BA7666" w:rsidRDefault="00195DC0" w:rsidP="001F428C">
      <w:pPr>
        <w:pStyle w:val="Heading2"/>
        <w:rPr>
          <w:color w:val="548DD4" w:themeColor="text2" w:themeTint="99"/>
        </w:rPr>
      </w:pPr>
      <w:r w:rsidRPr="00BA7666">
        <w:rPr>
          <w:rFonts w:eastAsia="Arial"/>
          <w:color w:val="548DD4" w:themeColor="text2" w:themeTint="99"/>
          <w:w w:val="105"/>
          <w:lang w:val="en-US"/>
        </w:rPr>
        <w:t>Barriers to learning for eligible/non-eligible pupils</w:t>
      </w:r>
      <w:r w:rsidR="001F428C" w:rsidRPr="00BA7666">
        <w:rPr>
          <w:rFonts w:eastAsia="Arial"/>
          <w:color w:val="548DD4" w:themeColor="text2" w:themeTint="99"/>
          <w:w w:val="105"/>
          <w:lang w:val="en-US"/>
        </w:rPr>
        <w:t xml:space="preserve"> 20</w:t>
      </w:r>
      <w:r w:rsidR="00333CD0" w:rsidRPr="00BA7666">
        <w:rPr>
          <w:rFonts w:eastAsia="Arial"/>
          <w:color w:val="548DD4" w:themeColor="text2" w:themeTint="99"/>
          <w:w w:val="105"/>
          <w:lang w:val="en-US"/>
        </w:rPr>
        <w:t>1</w:t>
      </w:r>
      <w:r w:rsidR="001F428C" w:rsidRPr="00BA7666">
        <w:rPr>
          <w:rFonts w:eastAsia="Arial"/>
          <w:color w:val="548DD4" w:themeColor="text2" w:themeTint="99"/>
          <w:w w:val="105"/>
          <w:lang w:val="en-US"/>
        </w:rPr>
        <w:t>8-19</w:t>
      </w:r>
    </w:p>
    <w:tbl>
      <w:tblPr>
        <w:tblStyle w:val="TableGrid1"/>
        <w:tblW w:w="9889" w:type="dxa"/>
        <w:tblLook w:val="04A0" w:firstRow="1" w:lastRow="0" w:firstColumn="1" w:lastColumn="0" w:noHBand="0" w:noVBand="1"/>
      </w:tblPr>
      <w:tblGrid>
        <w:gridCol w:w="4786"/>
        <w:gridCol w:w="1843"/>
        <w:gridCol w:w="1559"/>
        <w:gridCol w:w="1701"/>
      </w:tblGrid>
      <w:tr w:rsidR="00D51D97" w:rsidRPr="00760996" w:rsidTr="000E1494">
        <w:tc>
          <w:tcPr>
            <w:tcW w:w="4786" w:type="dxa"/>
            <w:shd w:val="clear" w:color="auto" w:fill="C6D9F1" w:themeFill="text2" w:themeFillTint="33"/>
          </w:tcPr>
          <w:p w:rsidR="006266F7" w:rsidRPr="00760996" w:rsidRDefault="006266F7" w:rsidP="001F428C">
            <w:pPr>
              <w:tabs>
                <w:tab w:val="left" w:pos="6165"/>
              </w:tabs>
              <w:rPr>
                <w:b/>
              </w:rPr>
            </w:pPr>
            <w:r w:rsidRPr="00760996">
              <w:rPr>
                <w:b/>
              </w:rPr>
              <w:t xml:space="preserve">SEND </w:t>
            </w:r>
            <w:r w:rsidR="001F428C" w:rsidRPr="00760996">
              <w:rPr>
                <w:b/>
              </w:rPr>
              <w:t>across the school</w:t>
            </w:r>
          </w:p>
        </w:tc>
        <w:tc>
          <w:tcPr>
            <w:tcW w:w="1843" w:type="dxa"/>
            <w:shd w:val="clear" w:color="auto" w:fill="C6D9F1" w:themeFill="text2" w:themeFillTint="33"/>
          </w:tcPr>
          <w:p w:rsidR="00421826" w:rsidRPr="00760996" w:rsidRDefault="006266F7" w:rsidP="006B7C29">
            <w:pPr>
              <w:tabs>
                <w:tab w:val="left" w:pos="6165"/>
              </w:tabs>
              <w:rPr>
                <w:b/>
              </w:rPr>
            </w:pPr>
            <w:r w:rsidRPr="00760996">
              <w:rPr>
                <w:b/>
              </w:rPr>
              <w:t xml:space="preserve">Pupil Premium </w:t>
            </w:r>
          </w:p>
          <w:p w:rsidR="006266F7" w:rsidRPr="00760996" w:rsidRDefault="006266F7" w:rsidP="006B7C29">
            <w:pPr>
              <w:tabs>
                <w:tab w:val="left" w:pos="6165"/>
              </w:tabs>
              <w:rPr>
                <w:b/>
              </w:rPr>
            </w:pPr>
            <w:r w:rsidRPr="00760996">
              <w:rPr>
                <w:b/>
              </w:rPr>
              <w:t>2018</w:t>
            </w:r>
          </w:p>
        </w:tc>
        <w:tc>
          <w:tcPr>
            <w:tcW w:w="1559" w:type="dxa"/>
            <w:shd w:val="clear" w:color="auto" w:fill="C6D9F1" w:themeFill="text2" w:themeFillTint="33"/>
          </w:tcPr>
          <w:p w:rsidR="006266F7" w:rsidRPr="00760996" w:rsidRDefault="006266F7" w:rsidP="006B7C29">
            <w:pPr>
              <w:tabs>
                <w:tab w:val="left" w:pos="6165"/>
              </w:tabs>
              <w:rPr>
                <w:b/>
              </w:rPr>
            </w:pPr>
            <w:r w:rsidRPr="00760996">
              <w:rPr>
                <w:b/>
              </w:rPr>
              <w:t>Non PP</w:t>
            </w:r>
          </w:p>
          <w:p w:rsidR="006266F7" w:rsidRPr="00760996" w:rsidRDefault="006266F7" w:rsidP="006B7C29">
            <w:pPr>
              <w:tabs>
                <w:tab w:val="left" w:pos="6165"/>
              </w:tabs>
              <w:rPr>
                <w:b/>
              </w:rPr>
            </w:pPr>
            <w:r w:rsidRPr="00760996">
              <w:rPr>
                <w:b/>
              </w:rPr>
              <w:t>2018</w:t>
            </w:r>
          </w:p>
        </w:tc>
        <w:tc>
          <w:tcPr>
            <w:tcW w:w="1701" w:type="dxa"/>
            <w:shd w:val="clear" w:color="auto" w:fill="C6D9F1" w:themeFill="text2" w:themeFillTint="33"/>
          </w:tcPr>
          <w:p w:rsidR="006266F7" w:rsidRPr="00760996" w:rsidRDefault="00421826" w:rsidP="00421826">
            <w:pPr>
              <w:tabs>
                <w:tab w:val="left" w:pos="6165"/>
              </w:tabs>
              <w:rPr>
                <w:b/>
              </w:rPr>
            </w:pPr>
            <w:r w:rsidRPr="00760996">
              <w:rPr>
                <w:b/>
              </w:rPr>
              <w:t xml:space="preserve">% of 80 on roll </w:t>
            </w:r>
            <w:r w:rsidR="006266F7" w:rsidRPr="00760996">
              <w:rPr>
                <w:b/>
              </w:rPr>
              <w:t>2018</w:t>
            </w:r>
          </w:p>
        </w:tc>
      </w:tr>
      <w:tr w:rsidR="006266F7" w:rsidRPr="00760996" w:rsidTr="00333CD0">
        <w:tc>
          <w:tcPr>
            <w:tcW w:w="4786" w:type="dxa"/>
          </w:tcPr>
          <w:p w:rsidR="006266F7" w:rsidRPr="00760996" w:rsidRDefault="006266F7" w:rsidP="006B7C29">
            <w:pPr>
              <w:tabs>
                <w:tab w:val="left" w:pos="6165"/>
              </w:tabs>
            </w:pPr>
            <w:r w:rsidRPr="00760996">
              <w:t>ASC</w:t>
            </w:r>
          </w:p>
        </w:tc>
        <w:tc>
          <w:tcPr>
            <w:tcW w:w="1843" w:type="dxa"/>
          </w:tcPr>
          <w:p w:rsidR="006266F7" w:rsidRPr="00760996" w:rsidRDefault="006266F7" w:rsidP="006B7C29">
            <w:pPr>
              <w:tabs>
                <w:tab w:val="left" w:pos="6165"/>
              </w:tabs>
            </w:pPr>
            <w:r w:rsidRPr="00760996">
              <w:t>58%</w:t>
            </w:r>
          </w:p>
        </w:tc>
        <w:tc>
          <w:tcPr>
            <w:tcW w:w="1559" w:type="dxa"/>
          </w:tcPr>
          <w:p w:rsidR="006266F7" w:rsidRPr="00760996" w:rsidRDefault="006266F7" w:rsidP="006B7C29">
            <w:pPr>
              <w:tabs>
                <w:tab w:val="left" w:pos="6165"/>
              </w:tabs>
            </w:pPr>
            <w:r w:rsidRPr="00760996">
              <w:t>81%</w:t>
            </w:r>
          </w:p>
        </w:tc>
        <w:tc>
          <w:tcPr>
            <w:tcW w:w="1701" w:type="dxa"/>
          </w:tcPr>
          <w:p w:rsidR="006266F7" w:rsidRPr="00760996" w:rsidRDefault="006266F7" w:rsidP="006B7C29">
            <w:pPr>
              <w:tabs>
                <w:tab w:val="left" w:pos="6165"/>
              </w:tabs>
            </w:pPr>
            <w:r w:rsidRPr="00760996">
              <w:t>70%</w:t>
            </w:r>
          </w:p>
        </w:tc>
      </w:tr>
      <w:tr w:rsidR="006266F7" w:rsidRPr="00760996" w:rsidTr="00333CD0">
        <w:tc>
          <w:tcPr>
            <w:tcW w:w="4786" w:type="dxa"/>
          </w:tcPr>
          <w:p w:rsidR="006266F7" w:rsidRPr="00760996" w:rsidRDefault="006266F7" w:rsidP="006B7C29">
            <w:pPr>
              <w:tabs>
                <w:tab w:val="left" w:pos="6165"/>
              </w:tabs>
            </w:pPr>
            <w:r w:rsidRPr="00760996">
              <w:t>Social Communication/SLCN</w:t>
            </w:r>
          </w:p>
        </w:tc>
        <w:tc>
          <w:tcPr>
            <w:tcW w:w="1843" w:type="dxa"/>
          </w:tcPr>
          <w:p w:rsidR="006266F7" w:rsidRPr="00760996" w:rsidRDefault="006266F7" w:rsidP="006B7C29">
            <w:pPr>
              <w:tabs>
                <w:tab w:val="left" w:pos="6165"/>
              </w:tabs>
            </w:pPr>
            <w:r w:rsidRPr="00760996">
              <w:t>58%</w:t>
            </w:r>
          </w:p>
        </w:tc>
        <w:tc>
          <w:tcPr>
            <w:tcW w:w="1559" w:type="dxa"/>
          </w:tcPr>
          <w:p w:rsidR="006266F7" w:rsidRPr="00760996" w:rsidRDefault="006266F7" w:rsidP="006B7C29">
            <w:pPr>
              <w:tabs>
                <w:tab w:val="left" w:pos="6165"/>
              </w:tabs>
            </w:pPr>
            <w:r w:rsidRPr="00760996">
              <w:t>31%</w:t>
            </w:r>
          </w:p>
        </w:tc>
        <w:tc>
          <w:tcPr>
            <w:tcW w:w="1701" w:type="dxa"/>
          </w:tcPr>
          <w:p w:rsidR="006266F7" w:rsidRPr="00760996" w:rsidRDefault="006266F7" w:rsidP="006B7C29">
            <w:pPr>
              <w:tabs>
                <w:tab w:val="left" w:pos="6165"/>
              </w:tabs>
            </w:pPr>
            <w:r w:rsidRPr="00760996">
              <w:t>44%</w:t>
            </w:r>
          </w:p>
        </w:tc>
      </w:tr>
      <w:tr w:rsidR="006266F7" w:rsidRPr="00760996" w:rsidTr="00333CD0">
        <w:tc>
          <w:tcPr>
            <w:tcW w:w="4786" w:type="dxa"/>
          </w:tcPr>
          <w:p w:rsidR="006266F7" w:rsidRPr="00760996" w:rsidRDefault="006266F7" w:rsidP="006B7C29">
            <w:pPr>
              <w:tabs>
                <w:tab w:val="left" w:pos="6165"/>
              </w:tabs>
            </w:pPr>
            <w:r w:rsidRPr="00760996">
              <w:t>MLD/Cognition &amp; Learning</w:t>
            </w:r>
          </w:p>
        </w:tc>
        <w:tc>
          <w:tcPr>
            <w:tcW w:w="1843" w:type="dxa"/>
          </w:tcPr>
          <w:p w:rsidR="006266F7" w:rsidRPr="00760996" w:rsidRDefault="006266F7" w:rsidP="006B7C29">
            <w:pPr>
              <w:tabs>
                <w:tab w:val="left" w:pos="6165"/>
              </w:tabs>
            </w:pPr>
            <w:r w:rsidRPr="00760996">
              <w:t>13%</w:t>
            </w:r>
          </w:p>
        </w:tc>
        <w:tc>
          <w:tcPr>
            <w:tcW w:w="1559" w:type="dxa"/>
          </w:tcPr>
          <w:p w:rsidR="006266F7" w:rsidRPr="00760996" w:rsidRDefault="006266F7" w:rsidP="006B7C29">
            <w:pPr>
              <w:tabs>
                <w:tab w:val="left" w:pos="6165"/>
              </w:tabs>
            </w:pPr>
            <w:r w:rsidRPr="00760996">
              <w:t>2%</w:t>
            </w:r>
          </w:p>
        </w:tc>
        <w:tc>
          <w:tcPr>
            <w:tcW w:w="1701" w:type="dxa"/>
          </w:tcPr>
          <w:p w:rsidR="006266F7" w:rsidRPr="00760996" w:rsidRDefault="006266F7" w:rsidP="006B7C29">
            <w:pPr>
              <w:tabs>
                <w:tab w:val="left" w:pos="6165"/>
              </w:tabs>
            </w:pPr>
            <w:r w:rsidRPr="00760996">
              <w:t>8%</w:t>
            </w:r>
          </w:p>
        </w:tc>
      </w:tr>
      <w:tr w:rsidR="006266F7" w:rsidRPr="00760996" w:rsidTr="00333CD0">
        <w:tc>
          <w:tcPr>
            <w:tcW w:w="4786" w:type="dxa"/>
          </w:tcPr>
          <w:p w:rsidR="006266F7" w:rsidRPr="00760996" w:rsidRDefault="006266F7" w:rsidP="006B7C29">
            <w:pPr>
              <w:tabs>
                <w:tab w:val="left" w:pos="6165"/>
              </w:tabs>
            </w:pPr>
            <w:r w:rsidRPr="00760996">
              <w:t>SEMH/Social Emotional</w:t>
            </w:r>
          </w:p>
        </w:tc>
        <w:tc>
          <w:tcPr>
            <w:tcW w:w="1843" w:type="dxa"/>
          </w:tcPr>
          <w:p w:rsidR="006266F7" w:rsidRPr="00760996" w:rsidRDefault="006266F7" w:rsidP="006B7C29">
            <w:pPr>
              <w:tabs>
                <w:tab w:val="left" w:pos="6165"/>
              </w:tabs>
            </w:pPr>
            <w:r w:rsidRPr="00760996">
              <w:t>21%</w:t>
            </w:r>
          </w:p>
        </w:tc>
        <w:tc>
          <w:tcPr>
            <w:tcW w:w="1559" w:type="dxa"/>
          </w:tcPr>
          <w:p w:rsidR="006266F7" w:rsidRPr="00760996" w:rsidRDefault="006266F7" w:rsidP="006B7C29">
            <w:pPr>
              <w:tabs>
                <w:tab w:val="left" w:pos="6165"/>
              </w:tabs>
            </w:pPr>
            <w:r w:rsidRPr="00760996">
              <w:t>21%</w:t>
            </w:r>
          </w:p>
        </w:tc>
        <w:tc>
          <w:tcPr>
            <w:tcW w:w="1701" w:type="dxa"/>
          </w:tcPr>
          <w:p w:rsidR="006266F7" w:rsidRPr="00760996" w:rsidRDefault="006266F7" w:rsidP="006B7C29">
            <w:pPr>
              <w:tabs>
                <w:tab w:val="left" w:pos="6165"/>
              </w:tabs>
            </w:pPr>
            <w:r w:rsidRPr="00760996">
              <w:t>20%</w:t>
            </w:r>
          </w:p>
        </w:tc>
      </w:tr>
      <w:tr w:rsidR="006266F7" w:rsidRPr="00760996" w:rsidTr="00333CD0">
        <w:tc>
          <w:tcPr>
            <w:tcW w:w="4786" w:type="dxa"/>
          </w:tcPr>
          <w:p w:rsidR="006266F7" w:rsidRPr="00760996" w:rsidRDefault="006266F7" w:rsidP="006B7C29">
            <w:pPr>
              <w:tabs>
                <w:tab w:val="left" w:pos="6165"/>
              </w:tabs>
            </w:pPr>
            <w:proofErr w:type="spellStart"/>
            <w:r w:rsidRPr="00760996">
              <w:t>SpLD</w:t>
            </w:r>
            <w:proofErr w:type="spellEnd"/>
            <w:r w:rsidRPr="00760996">
              <w:t xml:space="preserve"> (</w:t>
            </w:r>
            <w:proofErr w:type="spellStart"/>
            <w:r w:rsidRPr="00760996">
              <w:t>eg</w:t>
            </w:r>
            <w:proofErr w:type="spellEnd"/>
            <w:r w:rsidRPr="00760996">
              <w:t xml:space="preserve"> Dyslexia)</w:t>
            </w:r>
          </w:p>
        </w:tc>
        <w:tc>
          <w:tcPr>
            <w:tcW w:w="1843" w:type="dxa"/>
          </w:tcPr>
          <w:p w:rsidR="006266F7" w:rsidRPr="00760996" w:rsidRDefault="006266F7" w:rsidP="006B7C29">
            <w:pPr>
              <w:tabs>
                <w:tab w:val="left" w:pos="6165"/>
              </w:tabs>
            </w:pPr>
            <w:r w:rsidRPr="00760996">
              <w:t>5%</w:t>
            </w:r>
          </w:p>
        </w:tc>
        <w:tc>
          <w:tcPr>
            <w:tcW w:w="1559" w:type="dxa"/>
          </w:tcPr>
          <w:p w:rsidR="006266F7" w:rsidRPr="00760996" w:rsidRDefault="006266F7" w:rsidP="006B7C29">
            <w:pPr>
              <w:tabs>
                <w:tab w:val="left" w:pos="6165"/>
              </w:tabs>
            </w:pPr>
            <w:r w:rsidRPr="00760996">
              <w:t>2%</w:t>
            </w:r>
          </w:p>
        </w:tc>
        <w:tc>
          <w:tcPr>
            <w:tcW w:w="1701" w:type="dxa"/>
          </w:tcPr>
          <w:p w:rsidR="006266F7" w:rsidRPr="00760996" w:rsidRDefault="006266F7" w:rsidP="006B7C29">
            <w:pPr>
              <w:tabs>
                <w:tab w:val="left" w:pos="6165"/>
              </w:tabs>
            </w:pPr>
            <w:r w:rsidRPr="00760996">
              <w:t>4%</w:t>
            </w:r>
          </w:p>
        </w:tc>
      </w:tr>
      <w:tr w:rsidR="006266F7" w:rsidRPr="00760996" w:rsidTr="00333CD0">
        <w:tc>
          <w:tcPr>
            <w:tcW w:w="4786" w:type="dxa"/>
          </w:tcPr>
          <w:p w:rsidR="006266F7" w:rsidRPr="00760996" w:rsidRDefault="006266F7" w:rsidP="006B7C29">
            <w:pPr>
              <w:tabs>
                <w:tab w:val="left" w:pos="6165"/>
              </w:tabs>
            </w:pPr>
            <w:r w:rsidRPr="00760996">
              <w:t>ADHD</w:t>
            </w:r>
          </w:p>
        </w:tc>
        <w:tc>
          <w:tcPr>
            <w:tcW w:w="1843" w:type="dxa"/>
          </w:tcPr>
          <w:p w:rsidR="006266F7" w:rsidRPr="00760996" w:rsidRDefault="006266F7" w:rsidP="006B7C29">
            <w:pPr>
              <w:tabs>
                <w:tab w:val="left" w:pos="6165"/>
              </w:tabs>
            </w:pPr>
            <w:r w:rsidRPr="00760996">
              <w:t>37%</w:t>
            </w:r>
          </w:p>
        </w:tc>
        <w:tc>
          <w:tcPr>
            <w:tcW w:w="1559" w:type="dxa"/>
          </w:tcPr>
          <w:p w:rsidR="006266F7" w:rsidRPr="00760996" w:rsidRDefault="006266F7" w:rsidP="006B7C29">
            <w:pPr>
              <w:tabs>
                <w:tab w:val="left" w:pos="6165"/>
              </w:tabs>
            </w:pPr>
            <w:r w:rsidRPr="00760996">
              <w:t>5%</w:t>
            </w:r>
          </w:p>
        </w:tc>
        <w:tc>
          <w:tcPr>
            <w:tcW w:w="1701" w:type="dxa"/>
          </w:tcPr>
          <w:p w:rsidR="006266F7" w:rsidRPr="00760996" w:rsidRDefault="006266F7" w:rsidP="006B7C29">
            <w:pPr>
              <w:tabs>
                <w:tab w:val="left" w:pos="6165"/>
              </w:tabs>
            </w:pPr>
            <w:r w:rsidRPr="00760996">
              <w:t>20%</w:t>
            </w:r>
          </w:p>
        </w:tc>
      </w:tr>
      <w:tr w:rsidR="006266F7" w:rsidRPr="00760996" w:rsidTr="000E1494">
        <w:tc>
          <w:tcPr>
            <w:tcW w:w="9889" w:type="dxa"/>
            <w:gridSpan w:val="4"/>
            <w:shd w:val="clear" w:color="auto" w:fill="C6D9F1" w:themeFill="text2" w:themeFillTint="33"/>
          </w:tcPr>
          <w:p w:rsidR="006266F7" w:rsidRPr="000E1494" w:rsidRDefault="006266F7" w:rsidP="006B7C29">
            <w:pPr>
              <w:tabs>
                <w:tab w:val="left" w:pos="6165"/>
              </w:tabs>
              <w:rPr>
                <w:b/>
              </w:rPr>
            </w:pPr>
            <w:r w:rsidRPr="000E1494">
              <w:rPr>
                <w:b/>
              </w:rPr>
              <w:t>NOTE: Many pupils have comorbid diagnosis with more than one SEND need identified</w:t>
            </w:r>
          </w:p>
        </w:tc>
      </w:tr>
    </w:tbl>
    <w:p w:rsidR="00EF438D" w:rsidRPr="00BA7666" w:rsidRDefault="00333CD0" w:rsidP="00333CD0">
      <w:pPr>
        <w:pStyle w:val="Heading2"/>
        <w:rPr>
          <w:color w:val="548DD4" w:themeColor="text2" w:themeTint="99"/>
          <w:sz w:val="24"/>
          <w:szCs w:val="24"/>
        </w:rPr>
      </w:pPr>
      <w:r w:rsidRPr="00BA7666">
        <w:rPr>
          <w:color w:val="548DD4" w:themeColor="text2" w:themeTint="99"/>
          <w:sz w:val="24"/>
          <w:szCs w:val="24"/>
        </w:rPr>
        <w:t xml:space="preserve">Comparative data from </w:t>
      </w:r>
      <w:r w:rsidRPr="00BA7666">
        <w:rPr>
          <w:rFonts w:eastAsia="Arial"/>
          <w:color w:val="548DD4" w:themeColor="text2" w:themeTint="99"/>
          <w:w w:val="105"/>
          <w:sz w:val="24"/>
          <w:szCs w:val="24"/>
          <w:lang w:val="en-US"/>
        </w:rPr>
        <w:t>2016-18</w:t>
      </w:r>
    </w:p>
    <w:tbl>
      <w:tblPr>
        <w:tblStyle w:val="TableGrid13"/>
        <w:tblW w:w="9322" w:type="dxa"/>
        <w:tblLook w:val="04A0" w:firstRow="1" w:lastRow="0" w:firstColumn="1" w:lastColumn="0" w:noHBand="0" w:noVBand="1"/>
      </w:tblPr>
      <w:tblGrid>
        <w:gridCol w:w="3936"/>
        <w:gridCol w:w="1984"/>
        <w:gridCol w:w="1701"/>
        <w:gridCol w:w="1701"/>
      </w:tblGrid>
      <w:tr w:rsidR="00270462" w:rsidRPr="00760996" w:rsidTr="000E1494">
        <w:tc>
          <w:tcPr>
            <w:tcW w:w="3936" w:type="dxa"/>
            <w:shd w:val="clear" w:color="auto" w:fill="C6D9F1" w:themeFill="text2" w:themeFillTint="33"/>
          </w:tcPr>
          <w:p w:rsidR="00270462" w:rsidRPr="00760996" w:rsidRDefault="00270462" w:rsidP="00DA4BE0">
            <w:pPr>
              <w:tabs>
                <w:tab w:val="left" w:pos="6165"/>
              </w:tabs>
              <w:rPr>
                <w:b/>
              </w:rPr>
            </w:pPr>
            <w:r w:rsidRPr="00760996">
              <w:rPr>
                <w:b/>
              </w:rPr>
              <w:t xml:space="preserve">SEND needs of eligible PP pupils </w:t>
            </w:r>
          </w:p>
        </w:tc>
        <w:tc>
          <w:tcPr>
            <w:tcW w:w="1984" w:type="dxa"/>
            <w:shd w:val="clear" w:color="auto" w:fill="C6D9F1" w:themeFill="text2" w:themeFillTint="33"/>
          </w:tcPr>
          <w:p w:rsidR="00270462" w:rsidRPr="00760996" w:rsidRDefault="00270462" w:rsidP="00270462">
            <w:pPr>
              <w:tabs>
                <w:tab w:val="left" w:pos="6165"/>
              </w:tabs>
              <w:rPr>
                <w:b/>
              </w:rPr>
            </w:pPr>
            <w:r w:rsidRPr="00760996">
              <w:rPr>
                <w:b/>
              </w:rPr>
              <w:t>Percentages of total eligible 2016</w:t>
            </w:r>
          </w:p>
        </w:tc>
        <w:tc>
          <w:tcPr>
            <w:tcW w:w="1701" w:type="dxa"/>
            <w:shd w:val="clear" w:color="auto" w:fill="C6D9F1" w:themeFill="text2" w:themeFillTint="33"/>
          </w:tcPr>
          <w:p w:rsidR="00270462" w:rsidRPr="00760996" w:rsidRDefault="00270462" w:rsidP="00270462">
            <w:pPr>
              <w:tabs>
                <w:tab w:val="left" w:pos="6165"/>
              </w:tabs>
              <w:rPr>
                <w:b/>
              </w:rPr>
            </w:pPr>
            <w:r w:rsidRPr="00760996">
              <w:rPr>
                <w:b/>
              </w:rPr>
              <w:t>2017</w:t>
            </w:r>
          </w:p>
        </w:tc>
        <w:tc>
          <w:tcPr>
            <w:tcW w:w="1701" w:type="dxa"/>
            <w:shd w:val="clear" w:color="auto" w:fill="C6D9F1" w:themeFill="text2" w:themeFillTint="33"/>
          </w:tcPr>
          <w:p w:rsidR="00270462" w:rsidRPr="00760996" w:rsidRDefault="00270462" w:rsidP="00270462">
            <w:pPr>
              <w:tabs>
                <w:tab w:val="left" w:pos="6165"/>
              </w:tabs>
              <w:rPr>
                <w:b/>
              </w:rPr>
            </w:pPr>
            <w:r w:rsidRPr="00760996">
              <w:rPr>
                <w:b/>
              </w:rPr>
              <w:t>2018</w:t>
            </w:r>
          </w:p>
        </w:tc>
      </w:tr>
      <w:tr w:rsidR="00270462" w:rsidRPr="00760996" w:rsidTr="006B7C29">
        <w:tc>
          <w:tcPr>
            <w:tcW w:w="3936" w:type="dxa"/>
          </w:tcPr>
          <w:p w:rsidR="00270462" w:rsidRPr="00760996" w:rsidRDefault="00270462" w:rsidP="00270462">
            <w:pPr>
              <w:tabs>
                <w:tab w:val="left" w:pos="6165"/>
              </w:tabs>
            </w:pPr>
            <w:r w:rsidRPr="00760996">
              <w:t>ASC</w:t>
            </w:r>
          </w:p>
        </w:tc>
        <w:tc>
          <w:tcPr>
            <w:tcW w:w="1984" w:type="dxa"/>
          </w:tcPr>
          <w:p w:rsidR="00270462" w:rsidRPr="00760996" w:rsidRDefault="00270462" w:rsidP="00270462">
            <w:pPr>
              <w:tabs>
                <w:tab w:val="left" w:pos="6165"/>
              </w:tabs>
            </w:pPr>
            <w:r w:rsidRPr="00760996">
              <w:t>64%</w:t>
            </w:r>
          </w:p>
        </w:tc>
        <w:tc>
          <w:tcPr>
            <w:tcW w:w="1701" w:type="dxa"/>
          </w:tcPr>
          <w:p w:rsidR="00270462" w:rsidRPr="00760996" w:rsidRDefault="00270462" w:rsidP="00270462">
            <w:pPr>
              <w:tabs>
                <w:tab w:val="left" w:pos="6165"/>
              </w:tabs>
            </w:pPr>
            <w:r w:rsidRPr="00760996">
              <w:t>57%</w:t>
            </w:r>
          </w:p>
        </w:tc>
        <w:tc>
          <w:tcPr>
            <w:tcW w:w="1701" w:type="dxa"/>
          </w:tcPr>
          <w:p w:rsidR="00270462" w:rsidRPr="00760996" w:rsidRDefault="00270462" w:rsidP="00270462">
            <w:pPr>
              <w:tabs>
                <w:tab w:val="left" w:pos="6165"/>
              </w:tabs>
            </w:pPr>
            <w:r w:rsidRPr="00760996">
              <w:t>58%</w:t>
            </w:r>
          </w:p>
        </w:tc>
      </w:tr>
      <w:tr w:rsidR="00270462" w:rsidRPr="00760996" w:rsidTr="006B7C29">
        <w:tc>
          <w:tcPr>
            <w:tcW w:w="3936" w:type="dxa"/>
          </w:tcPr>
          <w:p w:rsidR="00270462" w:rsidRPr="00760996" w:rsidRDefault="00270462" w:rsidP="00270462">
            <w:pPr>
              <w:tabs>
                <w:tab w:val="left" w:pos="6165"/>
              </w:tabs>
            </w:pPr>
            <w:r w:rsidRPr="00760996">
              <w:t>Social Communication/SLCN</w:t>
            </w:r>
          </w:p>
        </w:tc>
        <w:tc>
          <w:tcPr>
            <w:tcW w:w="1984" w:type="dxa"/>
          </w:tcPr>
          <w:p w:rsidR="00270462" w:rsidRPr="00760996" w:rsidRDefault="00270462" w:rsidP="00270462">
            <w:pPr>
              <w:tabs>
                <w:tab w:val="left" w:pos="6165"/>
              </w:tabs>
            </w:pPr>
            <w:r w:rsidRPr="00760996">
              <w:t>48%</w:t>
            </w:r>
          </w:p>
        </w:tc>
        <w:tc>
          <w:tcPr>
            <w:tcW w:w="1701" w:type="dxa"/>
          </w:tcPr>
          <w:p w:rsidR="00270462" w:rsidRPr="00760996" w:rsidRDefault="00270462" w:rsidP="00270462">
            <w:pPr>
              <w:tabs>
                <w:tab w:val="left" w:pos="6165"/>
              </w:tabs>
            </w:pPr>
            <w:r w:rsidRPr="00760996">
              <w:t>57%</w:t>
            </w:r>
          </w:p>
        </w:tc>
        <w:tc>
          <w:tcPr>
            <w:tcW w:w="1701" w:type="dxa"/>
          </w:tcPr>
          <w:p w:rsidR="00270462" w:rsidRPr="00760996" w:rsidRDefault="00270462" w:rsidP="00270462">
            <w:pPr>
              <w:tabs>
                <w:tab w:val="left" w:pos="6165"/>
              </w:tabs>
            </w:pPr>
            <w:r w:rsidRPr="00760996">
              <w:t>58%</w:t>
            </w:r>
          </w:p>
        </w:tc>
      </w:tr>
      <w:tr w:rsidR="00270462" w:rsidRPr="00760996" w:rsidTr="006B7C29">
        <w:tc>
          <w:tcPr>
            <w:tcW w:w="3936" w:type="dxa"/>
          </w:tcPr>
          <w:p w:rsidR="00270462" w:rsidRPr="00760996" w:rsidRDefault="00270462" w:rsidP="00270462">
            <w:pPr>
              <w:tabs>
                <w:tab w:val="left" w:pos="6165"/>
              </w:tabs>
            </w:pPr>
            <w:r w:rsidRPr="00760996">
              <w:t>MLD/Cognition &amp; Learning</w:t>
            </w:r>
          </w:p>
        </w:tc>
        <w:tc>
          <w:tcPr>
            <w:tcW w:w="1984" w:type="dxa"/>
          </w:tcPr>
          <w:p w:rsidR="00270462" w:rsidRPr="00760996" w:rsidRDefault="00270462" w:rsidP="00270462">
            <w:pPr>
              <w:tabs>
                <w:tab w:val="left" w:pos="6165"/>
              </w:tabs>
            </w:pPr>
            <w:r w:rsidRPr="00760996">
              <w:t>12%</w:t>
            </w:r>
          </w:p>
        </w:tc>
        <w:tc>
          <w:tcPr>
            <w:tcW w:w="1701" w:type="dxa"/>
          </w:tcPr>
          <w:p w:rsidR="00270462" w:rsidRPr="00760996" w:rsidRDefault="00270462" w:rsidP="00270462">
            <w:pPr>
              <w:tabs>
                <w:tab w:val="left" w:pos="6165"/>
              </w:tabs>
            </w:pPr>
            <w:r w:rsidRPr="00760996">
              <w:t>6%</w:t>
            </w:r>
          </w:p>
        </w:tc>
        <w:tc>
          <w:tcPr>
            <w:tcW w:w="1701" w:type="dxa"/>
          </w:tcPr>
          <w:p w:rsidR="00270462" w:rsidRPr="00760996" w:rsidRDefault="00270462" w:rsidP="00270462">
            <w:pPr>
              <w:tabs>
                <w:tab w:val="left" w:pos="6165"/>
              </w:tabs>
            </w:pPr>
            <w:r w:rsidRPr="00760996">
              <w:t>13%</w:t>
            </w:r>
          </w:p>
        </w:tc>
      </w:tr>
      <w:tr w:rsidR="00270462" w:rsidRPr="00760996" w:rsidTr="006B7C29">
        <w:tc>
          <w:tcPr>
            <w:tcW w:w="3936" w:type="dxa"/>
          </w:tcPr>
          <w:p w:rsidR="00270462" w:rsidRPr="00760996" w:rsidRDefault="00270462" w:rsidP="00270462">
            <w:pPr>
              <w:tabs>
                <w:tab w:val="left" w:pos="6165"/>
              </w:tabs>
            </w:pPr>
            <w:r w:rsidRPr="00760996">
              <w:t>SEMH/Social Emotional</w:t>
            </w:r>
          </w:p>
        </w:tc>
        <w:tc>
          <w:tcPr>
            <w:tcW w:w="1984" w:type="dxa"/>
          </w:tcPr>
          <w:p w:rsidR="00270462" w:rsidRPr="00760996" w:rsidRDefault="00270462" w:rsidP="00270462">
            <w:pPr>
              <w:tabs>
                <w:tab w:val="left" w:pos="6165"/>
              </w:tabs>
            </w:pPr>
            <w:r w:rsidRPr="00760996">
              <w:t>15%</w:t>
            </w:r>
          </w:p>
        </w:tc>
        <w:tc>
          <w:tcPr>
            <w:tcW w:w="1701" w:type="dxa"/>
          </w:tcPr>
          <w:p w:rsidR="00270462" w:rsidRPr="00760996" w:rsidRDefault="00270462" w:rsidP="00270462">
            <w:pPr>
              <w:tabs>
                <w:tab w:val="left" w:pos="6165"/>
              </w:tabs>
            </w:pPr>
            <w:r w:rsidRPr="00760996">
              <w:t>17%</w:t>
            </w:r>
          </w:p>
        </w:tc>
        <w:tc>
          <w:tcPr>
            <w:tcW w:w="1701" w:type="dxa"/>
          </w:tcPr>
          <w:p w:rsidR="00270462" w:rsidRPr="00760996" w:rsidRDefault="00270462" w:rsidP="00270462">
            <w:pPr>
              <w:tabs>
                <w:tab w:val="left" w:pos="6165"/>
              </w:tabs>
            </w:pPr>
            <w:r w:rsidRPr="00760996">
              <w:t>21%</w:t>
            </w:r>
          </w:p>
        </w:tc>
      </w:tr>
      <w:tr w:rsidR="00270462" w:rsidRPr="00760996" w:rsidTr="006B7C29">
        <w:tc>
          <w:tcPr>
            <w:tcW w:w="3936" w:type="dxa"/>
          </w:tcPr>
          <w:p w:rsidR="00270462" w:rsidRPr="00760996" w:rsidRDefault="00270462" w:rsidP="00270462">
            <w:pPr>
              <w:tabs>
                <w:tab w:val="left" w:pos="6165"/>
              </w:tabs>
            </w:pPr>
            <w:proofErr w:type="spellStart"/>
            <w:r w:rsidRPr="00760996">
              <w:t>SpLD</w:t>
            </w:r>
            <w:proofErr w:type="spellEnd"/>
            <w:r w:rsidRPr="00760996">
              <w:t xml:space="preserve"> (</w:t>
            </w:r>
            <w:proofErr w:type="spellStart"/>
            <w:r w:rsidRPr="00760996">
              <w:t>eg</w:t>
            </w:r>
            <w:proofErr w:type="spellEnd"/>
            <w:r w:rsidRPr="00760996">
              <w:t xml:space="preserve"> Dyslexia)</w:t>
            </w:r>
          </w:p>
        </w:tc>
        <w:tc>
          <w:tcPr>
            <w:tcW w:w="1984" w:type="dxa"/>
          </w:tcPr>
          <w:p w:rsidR="00270462" w:rsidRPr="00760996" w:rsidRDefault="00270462" w:rsidP="00270462">
            <w:pPr>
              <w:tabs>
                <w:tab w:val="left" w:pos="6165"/>
              </w:tabs>
            </w:pPr>
            <w:r w:rsidRPr="00760996">
              <w:t>0%</w:t>
            </w:r>
          </w:p>
        </w:tc>
        <w:tc>
          <w:tcPr>
            <w:tcW w:w="1701" w:type="dxa"/>
          </w:tcPr>
          <w:p w:rsidR="00270462" w:rsidRPr="00760996" w:rsidRDefault="00270462" w:rsidP="00270462">
            <w:pPr>
              <w:tabs>
                <w:tab w:val="left" w:pos="6165"/>
              </w:tabs>
            </w:pPr>
            <w:r w:rsidRPr="00760996">
              <w:t>6%</w:t>
            </w:r>
          </w:p>
        </w:tc>
        <w:tc>
          <w:tcPr>
            <w:tcW w:w="1701" w:type="dxa"/>
          </w:tcPr>
          <w:p w:rsidR="00270462" w:rsidRPr="00760996" w:rsidRDefault="00270462" w:rsidP="00270462">
            <w:pPr>
              <w:tabs>
                <w:tab w:val="left" w:pos="6165"/>
              </w:tabs>
            </w:pPr>
            <w:r w:rsidRPr="00760996">
              <w:t>5%</w:t>
            </w:r>
          </w:p>
        </w:tc>
      </w:tr>
      <w:tr w:rsidR="00270462" w:rsidRPr="00760996" w:rsidTr="006B7C29">
        <w:tc>
          <w:tcPr>
            <w:tcW w:w="3936" w:type="dxa"/>
          </w:tcPr>
          <w:p w:rsidR="00270462" w:rsidRPr="00760996" w:rsidRDefault="00270462" w:rsidP="00270462">
            <w:pPr>
              <w:tabs>
                <w:tab w:val="left" w:pos="6165"/>
              </w:tabs>
            </w:pPr>
            <w:r w:rsidRPr="00760996">
              <w:t>ADHD</w:t>
            </w:r>
          </w:p>
        </w:tc>
        <w:tc>
          <w:tcPr>
            <w:tcW w:w="1984" w:type="dxa"/>
          </w:tcPr>
          <w:p w:rsidR="00270462" w:rsidRPr="00760996" w:rsidRDefault="00270462" w:rsidP="00270462">
            <w:pPr>
              <w:tabs>
                <w:tab w:val="left" w:pos="6165"/>
              </w:tabs>
            </w:pPr>
            <w:r w:rsidRPr="00760996">
              <w:t>27%</w:t>
            </w:r>
          </w:p>
        </w:tc>
        <w:tc>
          <w:tcPr>
            <w:tcW w:w="1701" w:type="dxa"/>
          </w:tcPr>
          <w:p w:rsidR="00270462" w:rsidRPr="00760996" w:rsidRDefault="00270462" w:rsidP="00270462">
            <w:pPr>
              <w:tabs>
                <w:tab w:val="left" w:pos="6165"/>
              </w:tabs>
            </w:pPr>
            <w:r w:rsidRPr="00760996">
              <w:t>32%</w:t>
            </w:r>
          </w:p>
        </w:tc>
        <w:tc>
          <w:tcPr>
            <w:tcW w:w="1701" w:type="dxa"/>
          </w:tcPr>
          <w:p w:rsidR="00270462" w:rsidRPr="00760996" w:rsidRDefault="00270462" w:rsidP="00270462">
            <w:pPr>
              <w:tabs>
                <w:tab w:val="left" w:pos="6165"/>
              </w:tabs>
            </w:pPr>
            <w:r w:rsidRPr="00760996">
              <w:t>37%</w:t>
            </w:r>
          </w:p>
        </w:tc>
      </w:tr>
      <w:tr w:rsidR="000E1494" w:rsidRPr="000E1494" w:rsidTr="000E1494">
        <w:tc>
          <w:tcPr>
            <w:tcW w:w="9322" w:type="dxa"/>
            <w:gridSpan w:val="4"/>
            <w:shd w:val="clear" w:color="auto" w:fill="C6D9F1" w:themeFill="text2" w:themeFillTint="33"/>
          </w:tcPr>
          <w:p w:rsidR="00D51D97" w:rsidRPr="000E1494" w:rsidRDefault="00D51D97" w:rsidP="00270462">
            <w:pPr>
              <w:tabs>
                <w:tab w:val="left" w:pos="6165"/>
              </w:tabs>
              <w:rPr>
                <w:b/>
              </w:rPr>
            </w:pPr>
            <w:r w:rsidRPr="000E1494">
              <w:rPr>
                <w:b/>
              </w:rPr>
              <w:t>NOTE: Many pupils have comorbid diagnosis with more than one SEND need identified</w:t>
            </w:r>
          </w:p>
        </w:tc>
      </w:tr>
    </w:tbl>
    <w:p w:rsidR="00D51D97" w:rsidRPr="00760996" w:rsidRDefault="0078629E" w:rsidP="00D51D97">
      <w:pPr>
        <w:pStyle w:val="ListParagraph"/>
        <w:numPr>
          <w:ilvl w:val="0"/>
          <w:numId w:val="11"/>
        </w:numPr>
        <w:rPr>
          <w:rFonts w:asciiTheme="majorHAnsi" w:hAnsiTheme="majorHAnsi"/>
        </w:rPr>
      </w:pPr>
      <w:r w:rsidRPr="00760996">
        <w:rPr>
          <w:rFonts w:asciiTheme="majorHAnsi" w:hAnsiTheme="majorHAnsi"/>
        </w:rPr>
        <w:t>ASC and SLCN groups</w:t>
      </w:r>
      <w:r w:rsidR="00D51D97" w:rsidRPr="00760996">
        <w:rPr>
          <w:rFonts w:asciiTheme="majorHAnsi" w:hAnsiTheme="majorHAnsi"/>
        </w:rPr>
        <w:t xml:space="preserve"> still highest within PP group (58%)</w:t>
      </w:r>
    </w:p>
    <w:p w:rsidR="00025752" w:rsidRPr="00760996" w:rsidRDefault="00D51D97" w:rsidP="00D51D97">
      <w:pPr>
        <w:pStyle w:val="ListParagraph"/>
        <w:numPr>
          <w:ilvl w:val="0"/>
          <w:numId w:val="11"/>
        </w:numPr>
        <w:rPr>
          <w:rFonts w:asciiTheme="majorHAnsi" w:hAnsiTheme="majorHAnsi"/>
        </w:rPr>
      </w:pPr>
      <w:r w:rsidRPr="00760996">
        <w:rPr>
          <w:rFonts w:asciiTheme="majorHAnsi" w:hAnsiTheme="majorHAnsi"/>
        </w:rPr>
        <w:t>Ongoing rise in numbers of PP pupils with social and emotional needs (+ 4% since 2017/18)</w:t>
      </w:r>
    </w:p>
    <w:p w:rsidR="00D51D97" w:rsidRPr="00760996" w:rsidRDefault="00D51D97" w:rsidP="00D51D97">
      <w:pPr>
        <w:pStyle w:val="ListParagraph"/>
        <w:numPr>
          <w:ilvl w:val="0"/>
          <w:numId w:val="11"/>
        </w:numPr>
        <w:rPr>
          <w:rFonts w:asciiTheme="majorHAnsi" w:hAnsiTheme="majorHAnsi"/>
        </w:rPr>
      </w:pPr>
      <w:r w:rsidRPr="00760996">
        <w:rPr>
          <w:rFonts w:asciiTheme="majorHAnsi" w:hAnsiTheme="majorHAnsi"/>
        </w:rPr>
        <w:t>Ongoing rise in numbers of PP with ADHD (+ 5% since 2017/18)</w:t>
      </w:r>
    </w:p>
    <w:p w:rsidR="00BE47A8" w:rsidRPr="00BA7666" w:rsidRDefault="002D1734" w:rsidP="00BE47A8">
      <w:pPr>
        <w:pStyle w:val="Heading2"/>
        <w:rPr>
          <w:color w:val="548DD4" w:themeColor="text2" w:themeTint="99"/>
        </w:rPr>
      </w:pPr>
      <w:r w:rsidRPr="00BA7666">
        <w:rPr>
          <w:color w:val="548DD4" w:themeColor="text2" w:themeTint="99"/>
        </w:rPr>
        <w:lastRenderedPageBreak/>
        <w:t xml:space="preserve">Breakdown </w:t>
      </w:r>
      <w:r w:rsidR="00DF4D41" w:rsidRPr="00BA7666">
        <w:rPr>
          <w:color w:val="548DD4" w:themeColor="text2" w:themeTint="99"/>
        </w:rPr>
        <w:t xml:space="preserve">% of </w:t>
      </w:r>
      <w:r w:rsidR="00C3511D" w:rsidRPr="00BA7666">
        <w:rPr>
          <w:color w:val="548DD4" w:themeColor="text2" w:themeTint="99"/>
        </w:rPr>
        <w:t xml:space="preserve">PP </w:t>
      </w:r>
      <w:r w:rsidR="00DF4D41" w:rsidRPr="00BA7666">
        <w:rPr>
          <w:color w:val="548DD4" w:themeColor="text2" w:themeTint="99"/>
        </w:rPr>
        <w:t xml:space="preserve">pupils accessing </w:t>
      </w:r>
      <w:r w:rsidR="0068168E" w:rsidRPr="00BA7666">
        <w:rPr>
          <w:color w:val="548DD4" w:themeColor="text2" w:themeTint="99"/>
        </w:rPr>
        <w:t xml:space="preserve">following </w:t>
      </w:r>
      <w:r w:rsidR="00DF4D41" w:rsidRPr="00BA7666">
        <w:rPr>
          <w:color w:val="548DD4" w:themeColor="text2" w:themeTint="99"/>
        </w:rPr>
        <w:t>PP funded interventions</w:t>
      </w:r>
    </w:p>
    <w:p w:rsidR="00E872A9" w:rsidRPr="00760996" w:rsidRDefault="00D537B3" w:rsidP="00E872A9">
      <w:pPr>
        <w:pStyle w:val="ListParagraph"/>
        <w:numPr>
          <w:ilvl w:val="0"/>
          <w:numId w:val="3"/>
        </w:numPr>
        <w:rPr>
          <w:rFonts w:asciiTheme="majorHAnsi" w:hAnsiTheme="majorHAnsi"/>
        </w:rPr>
      </w:pPr>
      <w:r w:rsidRPr="00760996">
        <w:rPr>
          <w:rFonts w:asciiTheme="majorHAnsi" w:hAnsiTheme="majorHAnsi"/>
        </w:rPr>
        <w:t>71</w:t>
      </w:r>
      <w:r w:rsidR="00C3511D" w:rsidRPr="00760996">
        <w:rPr>
          <w:rFonts w:asciiTheme="majorHAnsi" w:hAnsiTheme="majorHAnsi"/>
        </w:rPr>
        <w:t xml:space="preserve">% accessed SALT support  </w:t>
      </w:r>
    </w:p>
    <w:p w:rsidR="00C3511D" w:rsidRPr="00760996" w:rsidRDefault="00270462" w:rsidP="00E872A9">
      <w:pPr>
        <w:pStyle w:val="ListParagraph"/>
        <w:numPr>
          <w:ilvl w:val="0"/>
          <w:numId w:val="3"/>
        </w:numPr>
        <w:rPr>
          <w:rFonts w:asciiTheme="majorHAnsi" w:hAnsiTheme="majorHAnsi"/>
        </w:rPr>
      </w:pPr>
      <w:r w:rsidRPr="00760996">
        <w:rPr>
          <w:rFonts w:asciiTheme="majorHAnsi" w:hAnsiTheme="majorHAnsi"/>
        </w:rPr>
        <w:t>40</w:t>
      </w:r>
      <w:r w:rsidR="00C3511D" w:rsidRPr="00760996">
        <w:rPr>
          <w:rFonts w:asciiTheme="majorHAnsi" w:hAnsiTheme="majorHAnsi"/>
        </w:rPr>
        <w:t>% accessed Emotion Coach support</w:t>
      </w:r>
    </w:p>
    <w:p w:rsidR="00C3511D" w:rsidRPr="00760996" w:rsidRDefault="00C3511D" w:rsidP="00E872A9">
      <w:pPr>
        <w:pStyle w:val="ListParagraph"/>
        <w:numPr>
          <w:ilvl w:val="0"/>
          <w:numId w:val="3"/>
        </w:numPr>
        <w:rPr>
          <w:rFonts w:asciiTheme="majorHAnsi" w:hAnsiTheme="majorHAnsi"/>
        </w:rPr>
      </w:pPr>
      <w:r w:rsidRPr="00760996">
        <w:rPr>
          <w:rFonts w:asciiTheme="majorHAnsi" w:hAnsiTheme="majorHAnsi"/>
        </w:rPr>
        <w:t>35% accessed School Counsellor support</w:t>
      </w:r>
    </w:p>
    <w:p w:rsidR="00BE47A8" w:rsidRPr="00BA7666" w:rsidRDefault="00BE47A8" w:rsidP="00EF438D">
      <w:pPr>
        <w:pStyle w:val="Heading2"/>
        <w:rPr>
          <w:color w:val="548DD4" w:themeColor="text2" w:themeTint="99"/>
        </w:rPr>
      </w:pPr>
      <w:r w:rsidRPr="00BA7666">
        <w:rPr>
          <w:color w:val="548DD4" w:themeColor="text2" w:themeTint="99"/>
        </w:rPr>
        <w:t>Evidence of Impact Measures</w:t>
      </w:r>
    </w:p>
    <w:p w:rsidR="00163F87" w:rsidRPr="00760996" w:rsidRDefault="00E74575" w:rsidP="00BE47A8">
      <w:pPr>
        <w:rPr>
          <w:rFonts w:asciiTheme="majorHAnsi" w:hAnsiTheme="majorHAnsi"/>
          <w:color w:val="4F81BD" w:themeColor="accent1"/>
          <w:sz w:val="26"/>
          <w:szCs w:val="26"/>
        </w:rPr>
      </w:pPr>
      <w:r w:rsidRPr="00760996">
        <w:rPr>
          <w:rFonts w:asciiTheme="majorHAnsi" w:hAnsiTheme="majorHAnsi"/>
        </w:rPr>
        <w:t>Through strategic use of the P</w:t>
      </w:r>
      <w:r w:rsidR="00BE47A8" w:rsidRPr="00760996">
        <w:rPr>
          <w:rFonts w:asciiTheme="majorHAnsi" w:hAnsiTheme="majorHAnsi"/>
        </w:rPr>
        <w:t xml:space="preserve">upil </w:t>
      </w:r>
      <w:r w:rsidRPr="00760996">
        <w:rPr>
          <w:rFonts w:asciiTheme="majorHAnsi" w:hAnsiTheme="majorHAnsi"/>
        </w:rPr>
        <w:t>P</w:t>
      </w:r>
      <w:r w:rsidR="00BE47A8" w:rsidRPr="00760996">
        <w:rPr>
          <w:rFonts w:asciiTheme="majorHAnsi" w:hAnsiTheme="majorHAnsi"/>
        </w:rPr>
        <w:t>remium</w:t>
      </w:r>
      <w:r w:rsidRPr="00760996">
        <w:rPr>
          <w:rFonts w:asciiTheme="majorHAnsi" w:hAnsiTheme="majorHAnsi"/>
        </w:rPr>
        <w:t xml:space="preserve"> grant funding</w:t>
      </w:r>
      <w:r w:rsidR="00BE47A8" w:rsidRPr="00760996">
        <w:rPr>
          <w:rFonts w:asciiTheme="majorHAnsi" w:hAnsiTheme="majorHAnsi"/>
        </w:rPr>
        <w:t>,</w:t>
      </w:r>
      <w:r w:rsidRPr="00760996">
        <w:rPr>
          <w:rFonts w:asciiTheme="majorHAnsi" w:hAnsiTheme="majorHAnsi"/>
        </w:rPr>
        <w:t xml:space="preserve"> focusing on the identified barriers </w:t>
      </w:r>
      <w:r w:rsidR="00163F87" w:rsidRPr="00760996">
        <w:rPr>
          <w:rFonts w:asciiTheme="majorHAnsi" w:hAnsiTheme="majorHAnsi"/>
        </w:rPr>
        <w:t>for this disadvantaged group, we are able to facilitate students achieving their potential resulting in improved attainment and</w:t>
      </w:r>
      <w:r w:rsidRPr="00760996">
        <w:rPr>
          <w:rFonts w:asciiTheme="majorHAnsi" w:hAnsiTheme="majorHAnsi"/>
        </w:rPr>
        <w:t xml:space="preserve"> progress </w:t>
      </w:r>
      <w:r w:rsidR="00163F87" w:rsidRPr="00760996">
        <w:rPr>
          <w:rFonts w:asciiTheme="majorHAnsi" w:hAnsiTheme="majorHAnsi"/>
        </w:rPr>
        <w:t>both academically and personally.</w:t>
      </w:r>
    </w:p>
    <w:p w:rsidR="00C22FD0" w:rsidRPr="00760996" w:rsidRDefault="00163F87" w:rsidP="00465F03">
      <w:pPr>
        <w:pStyle w:val="Heading2"/>
      </w:pPr>
      <w:r w:rsidRPr="00760996">
        <w:rPr>
          <w:b w:val="0"/>
          <w:color w:val="auto"/>
          <w:sz w:val="22"/>
          <w:szCs w:val="22"/>
        </w:rPr>
        <w:t xml:space="preserve">For some students case studies are also compiled using both quantitative and qualitative data. These </w:t>
      </w:r>
      <w:r w:rsidR="0068168E" w:rsidRPr="00760996">
        <w:rPr>
          <w:b w:val="0"/>
          <w:color w:val="auto"/>
          <w:sz w:val="22"/>
          <w:szCs w:val="22"/>
        </w:rPr>
        <w:t xml:space="preserve">personalised </w:t>
      </w:r>
      <w:r w:rsidRPr="00760996">
        <w:rPr>
          <w:b w:val="0"/>
          <w:color w:val="auto"/>
          <w:sz w:val="22"/>
          <w:szCs w:val="22"/>
        </w:rPr>
        <w:t>case studies demonstrate positive impact on students’ ability to manage their own behaviour, interact with others and</w:t>
      </w:r>
      <w:r w:rsidR="00BE47A8" w:rsidRPr="00760996">
        <w:rPr>
          <w:b w:val="0"/>
          <w:color w:val="auto"/>
          <w:sz w:val="22"/>
          <w:szCs w:val="22"/>
        </w:rPr>
        <w:t xml:space="preserve"> </w:t>
      </w:r>
      <w:r w:rsidR="0068168E" w:rsidRPr="00760996">
        <w:rPr>
          <w:b w:val="0"/>
          <w:color w:val="auto"/>
          <w:sz w:val="22"/>
          <w:szCs w:val="22"/>
        </w:rPr>
        <w:t>develop</w:t>
      </w:r>
      <w:r w:rsidR="00BE47A8" w:rsidRPr="00760996">
        <w:rPr>
          <w:b w:val="0"/>
          <w:color w:val="auto"/>
          <w:sz w:val="22"/>
          <w:szCs w:val="22"/>
        </w:rPr>
        <w:t xml:space="preserve"> </w:t>
      </w:r>
      <w:r w:rsidR="0068168E" w:rsidRPr="00760996">
        <w:rPr>
          <w:b w:val="0"/>
          <w:color w:val="auto"/>
          <w:sz w:val="22"/>
          <w:szCs w:val="22"/>
        </w:rPr>
        <w:t xml:space="preserve">confidence and independence </w:t>
      </w:r>
      <w:r w:rsidR="00BE47A8" w:rsidRPr="00760996">
        <w:rPr>
          <w:b w:val="0"/>
          <w:color w:val="auto"/>
          <w:sz w:val="22"/>
          <w:szCs w:val="22"/>
        </w:rPr>
        <w:t>skills</w:t>
      </w:r>
      <w:r w:rsidR="0068168E" w:rsidRPr="00760996">
        <w:rPr>
          <w:b w:val="0"/>
          <w:color w:val="auto"/>
          <w:sz w:val="22"/>
          <w:szCs w:val="22"/>
        </w:rPr>
        <w:t>.</w:t>
      </w:r>
      <w:r w:rsidR="00BE47A8" w:rsidRPr="00760996">
        <w:rPr>
          <w:b w:val="0"/>
          <w:color w:val="auto"/>
          <w:sz w:val="22"/>
          <w:szCs w:val="22"/>
        </w:rPr>
        <w:t xml:space="preserve"> </w:t>
      </w:r>
    </w:p>
    <w:p w:rsidR="00CB0964" w:rsidRPr="00BA7666" w:rsidRDefault="00C22FD0" w:rsidP="004A4782">
      <w:pPr>
        <w:pStyle w:val="IntenseQuote"/>
        <w:ind w:left="0"/>
        <w:rPr>
          <w:rFonts w:asciiTheme="majorHAnsi" w:eastAsia="Calibri" w:hAnsiTheme="majorHAnsi" w:cs="Times New Roman"/>
          <w:color w:val="548DD4" w:themeColor="text2" w:themeTint="99"/>
          <w:sz w:val="26"/>
          <w:szCs w:val="26"/>
        </w:rPr>
      </w:pPr>
      <w:r w:rsidRPr="00BA7666">
        <w:rPr>
          <w:rFonts w:asciiTheme="majorHAnsi" w:hAnsiTheme="majorHAnsi"/>
          <w:color w:val="548DD4" w:themeColor="text2" w:themeTint="99"/>
          <w:sz w:val="26"/>
          <w:szCs w:val="26"/>
        </w:rPr>
        <w:t>Data Analysis for Core Subjects</w:t>
      </w:r>
      <w:r w:rsidR="004E6682" w:rsidRPr="00BA7666">
        <w:rPr>
          <w:rFonts w:asciiTheme="majorHAnsi" w:hAnsiTheme="majorHAnsi"/>
          <w:color w:val="548DD4" w:themeColor="text2" w:themeTint="99"/>
          <w:sz w:val="26"/>
          <w:szCs w:val="26"/>
        </w:rPr>
        <w:t xml:space="preserve"> 2018-19</w:t>
      </w:r>
    </w:p>
    <w:p w:rsidR="00CB0964" w:rsidRPr="00BA7666" w:rsidRDefault="00CB0964" w:rsidP="00CB0964">
      <w:pPr>
        <w:spacing w:after="0" w:line="240" w:lineRule="auto"/>
        <w:rPr>
          <w:rFonts w:ascii="Calibri" w:eastAsia="Calibri" w:hAnsi="Calibri" w:cs="Times New Roman"/>
          <w:color w:val="548DD4" w:themeColor="text2" w:themeTint="99"/>
        </w:rPr>
      </w:pPr>
    </w:p>
    <w:p w:rsidR="00CB0964" w:rsidRPr="00760996" w:rsidRDefault="004E6682" w:rsidP="00CB0964">
      <w:pPr>
        <w:spacing w:after="0" w:line="240" w:lineRule="auto"/>
        <w:rPr>
          <w:rFonts w:ascii="Calibri" w:eastAsia="Calibri" w:hAnsi="Calibri" w:cs="Times New Roman"/>
        </w:rPr>
      </w:pPr>
      <w:r w:rsidRPr="00760996">
        <w:rPr>
          <w:rFonts w:ascii="Calibri" w:eastAsia="Calibri" w:hAnsi="Calibri" w:cs="Times New Roman"/>
          <w:noProof/>
          <w:lang w:eastAsia="en-GB"/>
        </w:rPr>
        <w:drawing>
          <wp:inline distT="0" distB="0" distL="0" distR="0" wp14:anchorId="62788E70" wp14:editId="45FD3C7F">
            <wp:extent cx="5864860" cy="31089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4860" cy="3108960"/>
                    </a:xfrm>
                    <a:prstGeom prst="rect">
                      <a:avLst/>
                    </a:prstGeom>
                    <a:noFill/>
                  </pic:spPr>
                </pic:pic>
              </a:graphicData>
            </a:graphic>
          </wp:inline>
        </w:drawing>
      </w:r>
    </w:p>
    <w:p w:rsidR="00CB0964" w:rsidRPr="00760996" w:rsidRDefault="00CB0964" w:rsidP="00CB0964">
      <w:pPr>
        <w:spacing w:after="0" w:line="240" w:lineRule="auto"/>
        <w:rPr>
          <w:rFonts w:ascii="Calibri" w:eastAsia="Calibri" w:hAnsi="Calibri" w:cs="Times New Roman"/>
        </w:rPr>
      </w:pPr>
    </w:p>
    <w:p w:rsidR="00CB0964" w:rsidRPr="00760996" w:rsidRDefault="00CB0964" w:rsidP="00CB0964">
      <w:pPr>
        <w:spacing w:after="0" w:line="240" w:lineRule="auto"/>
        <w:rPr>
          <w:rFonts w:ascii="Calibri" w:eastAsia="Calibri" w:hAnsi="Calibri" w:cs="Times New Roman"/>
        </w:rPr>
      </w:pPr>
    </w:p>
    <w:p w:rsidR="004E6682" w:rsidRPr="004E6682" w:rsidRDefault="004E6682" w:rsidP="004E6682">
      <w:pPr>
        <w:numPr>
          <w:ilvl w:val="0"/>
          <w:numId w:val="2"/>
        </w:numPr>
        <w:spacing w:after="0" w:line="240" w:lineRule="auto"/>
        <w:rPr>
          <w:rFonts w:ascii="Calibri" w:eastAsia="Calibri" w:hAnsi="Calibri" w:cs="Times New Roman"/>
        </w:rPr>
      </w:pPr>
      <w:r w:rsidRPr="004E6682">
        <w:rPr>
          <w:rFonts w:ascii="Calibri" w:eastAsia="Calibri" w:hAnsi="Calibri" w:cs="Times New Roman"/>
        </w:rPr>
        <w:t>Out of 73 learners a</w:t>
      </w:r>
      <w:r w:rsidRPr="00760996">
        <w:rPr>
          <w:rFonts w:ascii="Calibri" w:eastAsia="Calibri" w:hAnsi="Calibri" w:cs="Times New Roman"/>
        </w:rPr>
        <w:t>cross Key Stage 3 and 4, 49% were</w:t>
      </w:r>
      <w:r w:rsidRPr="004E6682">
        <w:rPr>
          <w:rFonts w:ascii="Calibri" w:eastAsia="Calibri" w:hAnsi="Calibri" w:cs="Times New Roman"/>
        </w:rPr>
        <w:t xml:space="preserve"> Pupil Premium pupils.  </w:t>
      </w:r>
      <w:r w:rsidRPr="00760996">
        <w:rPr>
          <w:rFonts w:ascii="Calibri" w:eastAsia="Calibri" w:hAnsi="Calibri" w:cs="Times New Roman"/>
        </w:rPr>
        <w:t>Pupil Premium pupils made</w:t>
      </w:r>
      <w:r w:rsidRPr="004E6682">
        <w:rPr>
          <w:rFonts w:ascii="Calibri" w:eastAsia="Calibri" w:hAnsi="Calibri" w:cs="Times New Roman"/>
        </w:rPr>
        <w:t xml:space="preserve"> good progress and in general are in line with their non-pupil premium peers</w:t>
      </w:r>
      <w:r w:rsidRPr="00760996">
        <w:rPr>
          <w:rFonts w:ascii="Calibri" w:eastAsia="Calibri" w:hAnsi="Calibri" w:cs="Times New Roman"/>
        </w:rPr>
        <w:t xml:space="preserve">. There are </w:t>
      </w:r>
      <w:r w:rsidRPr="004E6682">
        <w:rPr>
          <w:rFonts w:ascii="Calibri" w:eastAsia="Calibri" w:hAnsi="Calibri" w:cs="Times New Roman"/>
        </w:rPr>
        <w:t xml:space="preserve">no significant gaps in attainment. </w:t>
      </w:r>
    </w:p>
    <w:p w:rsidR="004E6682" w:rsidRPr="004E6682" w:rsidRDefault="004E6682" w:rsidP="004E6682">
      <w:pPr>
        <w:spacing w:after="0" w:line="240" w:lineRule="auto"/>
        <w:ind w:left="360"/>
        <w:rPr>
          <w:rFonts w:ascii="Calibri" w:eastAsia="Calibri" w:hAnsi="Calibri" w:cs="Times New Roman"/>
        </w:rPr>
      </w:pPr>
    </w:p>
    <w:p w:rsidR="004E6682" w:rsidRPr="00BA7666" w:rsidRDefault="004E6682" w:rsidP="00760996">
      <w:pPr>
        <w:pStyle w:val="Heading3"/>
        <w:rPr>
          <w:rFonts w:eastAsia="Times New Roman"/>
          <w:color w:val="548DD4" w:themeColor="text2" w:themeTint="99"/>
          <w:sz w:val="26"/>
          <w:szCs w:val="26"/>
        </w:rPr>
      </w:pPr>
      <w:r w:rsidRPr="00BA7666">
        <w:rPr>
          <w:rFonts w:eastAsia="Times New Roman"/>
          <w:color w:val="548DD4" w:themeColor="text2" w:themeTint="99"/>
          <w:sz w:val="26"/>
          <w:szCs w:val="26"/>
        </w:rPr>
        <w:t>Areas for Improvement</w:t>
      </w:r>
    </w:p>
    <w:p w:rsidR="004E6682" w:rsidRPr="004E6682" w:rsidRDefault="004E6682" w:rsidP="004E6682">
      <w:pPr>
        <w:numPr>
          <w:ilvl w:val="0"/>
          <w:numId w:val="6"/>
        </w:numPr>
        <w:pBdr>
          <w:top w:val="thinThickSmallGap" w:sz="24" w:space="1" w:color="B4C6E7"/>
          <w:left w:val="thinThickSmallGap" w:sz="24" w:space="4" w:color="B4C6E7"/>
          <w:bottom w:val="thickThinSmallGap" w:sz="24" w:space="1" w:color="B4C6E7"/>
          <w:right w:val="thickThinSmallGap" w:sz="24" w:space="4" w:color="B4C6E7"/>
        </w:pBdr>
        <w:spacing w:after="160" w:line="259" w:lineRule="auto"/>
        <w:contextualSpacing/>
        <w:rPr>
          <w:rFonts w:ascii="Calibri" w:eastAsia="Calibri" w:hAnsi="Calibri" w:cs="Times New Roman"/>
        </w:rPr>
      </w:pPr>
      <w:bookmarkStart w:id="0" w:name="_Hlk528413161"/>
      <w:r w:rsidRPr="004E6682">
        <w:rPr>
          <w:rFonts w:ascii="Calibri" w:eastAsia="Calibri" w:hAnsi="Calibri" w:cs="Times New Roman"/>
        </w:rPr>
        <w:t>As there are no significant gaps or differences in the achievement of Pupil Premium pupils, the focus will be to maintain this level of progress.</w:t>
      </w:r>
    </w:p>
    <w:bookmarkEnd w:id="0"/>
    <w:p w:rsidR="004E6682" w:rsidRPr="00760996" w:rsidRDefault="004E6682" w:rsidP="00C22FD0">
      <w:pPr>
        <w:pStyle w:val="Heading2"/>
        <w:rPr>
          <w:rFonts w:eastAsia="Times New Roman"/>
        </w:rPr>
      </w:pPr>
    </w:p>
    <w:p w:rsidR="00465F03" w:rsidRDefault="00465F03" w:rsidP="000E1494">
      <w:pPr>
        <w:pStyle w:val="IntenseQuote"/>
        <w:ind w:left="0"/>
        <w:rPr>
          <w:rFonts w:asciiTheme="majorHAnsi" w:hAnsiTheme="majorHAnsi"/>
          <w:sz w:val="26"/>
          <w:szCs w:val="26"/>
        </w:rPr>
      </w:pPr>
    </w:p>
    <w:p w:rsidR="00465F03" w:rsidRDefault="00465F03" w:rsidP="000E1494">
      <w:pPr>
        <w:pStyle w:val="IntenseQuote"/>
        <w:ind w:left="0"/>
        <w:rPr>
          <w:rFonts w:asciiTheme="majorHAnsi" w:hAnsiTheme="majorHAnsi"/>
          <w:sz w:val="26"/>
          <w:szCs w:val="26"/>
        </w:rPr>
      </w:pPr>
    </w:p>
    <w:p w:rsidR="00BE47A8" w:rsidRPr="00BA7666" w:rsidRDefault="00494059" w:rsidP="000E1494">
      <w:pPr>
        <w:pStyle w:val="IntenseQuote"/>
        <w:ind w:left="0"/>
        <w:rPr>
          <w:rFonts w:asciiTheme="majorHAnsi" w:hAnsiTheme="majorHAnsi"/>
          <w:color w:val="548DD4" w:themeColor="text2" w:themeTint="99"/>
          <w:sz w:val="26"/>
          <w:szCs w:val="26"/>
        </w:rPr>
      </w:pPr>
      <w:r w:rsidRPr="00BA7666">
        <w:rPr>
          <w:rFonts w:asciiTheme="majorHAnsi" w:hAnsiTheme="majorHAnsi"/>
          <w:color w:val="548DD4" w:themeColor="text2" w:themeTint="99"/>
          <w:sz w:val="26"/>
          <w:szCs w:val="26"/>
        </w:rPr>
        <w:lastRenderedPageBreak/>
        <w:t>English Data Analysis</w:t>
      </w:r>
      <w:r w:rsidR="004E6682" w:rsidRPr="00BA7666">
        <w:rPr>
          <w:rFonts w:asciiTheme="majorHAnsi" w:hAnsiTheme="majorHAnsi"/>
          <w:color w:val="548DD4" w:themeColor="text2" w:themeTint="99"/>
          <w:sz w:val="26"/>
          <w:szCs w:val="26"/>
        </w:rPr>
        <w:t xml:space="preserve"> 2018-19</w:t>
      </w:r>
    </w:p>
    <w:p w:rsidR="00EF438D" w:rsidRPr="00760996" w:rsidRDefault="004E6682" w:rsidP="00CB0964">
      <w:pPr>
        <w:ind w:firstLine="720"/>
      </w:pPr>
      <w:r w:rsidRPr="00760996">
        <w:rPr>
          <w:noProof/>
          <w:lang w:eastAsia="en-GB"/>
        </w:rPr>
        <w:drawing>
          <wp:inline distT="0" distB="0" distL="0" distR="0" wp14:anchorId="1F06BDDD" wp14:editId="60AE8613">
            <wp:extent cx="5852795"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2487295"/>
                    </a:xfrm>
                    <a:prstGeom prst="rect">
                      <a:avLst/>
                    </a:prstGeom>
                    <a:noFill/>
                  </pic:spPr>
                </pic:pic>
              </a:graphicData>
            </a:graphic>
          </wp:inline>
        </w:drawing>
      </w:r>
    </w:p>
    <w:p w:rsidR="00D9641B" w:rsidRPr="00D9641B" w:rsidRDefault="00D9641B" w:rsidP="00D9641B">
      <w:pPr>
        <w:numPr>
          <w:ilvl w:val="0"/>
          <w:numId w:val="6"/>
        </w:numPr>
        <w:spacing w:after="0" w:line="240" w:lineRule="auto"/>
        <w:rPr>
          <w:rFonts w:ascii="Calibri" w:eastAsia="Calibri" w:hAnsi="Calibri" w:cs="Times New Roman"/>
        </w:rPr>
      </w:pPr>
      <w:r w:rsidRPr="00D9641B">
        <w:rPr>
          <w:rFonts w:ascii="Calibri" w:eastAsia="Calibri" w:hAnsi="Calibri" w:cs="Times New Roman"/>
        </w:rPr>
        <w:t>Pupils across Key Stage 3 are making good progress in English. This is a significant improvement on last year</w:t>
      </w:r>
      <w:r w:rsidRPr="00760996">
        <w:rPr>
          <w:rFonts w:ascii="Calibri" w:eastAsia="Calibri" w:hAnsi="Calibri" w:cs="Times New Roman"/>
        </w:rPr>
        <w:t>’</w:t>
      </w:r>
      <w:r w:rsidRPr="00D9641B">
        <w:rPr>
          <w:rFonts w:ascii="Calibri" w:eastAsia="Calibri" w:hAnsi="Calibri" w:cs="Times New Roman"/>
        </w:rPr>
        <w:t xml:space="preserve">s progress. In 2017-18, every year group had a percentage of pupils who did not achieve their individual progress target.  Now only year 8 have less than 100% of pupils achieving this.  </w:t>
      </w:r>
    </w:p>
    <w:p w:rsidR="00494059" w:rsidRPr="00760996" w:rsidRDefault="00D9641B" w:rsidP="00494059">
      <w:pPr>
        <w:numPr>
          <w:ilvl w:val="0"/>
          <w:numId w:val="6"/>
        </w:numPr>
        <w:spacing w:after="0" w:line="240" w:lineRule="auto"/>
        <w:rPr>
          <w:rFonts w:ascii="Calibri" w:eastAsia="Calibri" w:hAnsi="Calibri" w:cs="Times New Roman"/>
        </w:rPr>
      </w:pPr>
      <w:r w:rsidRPr="00D9641B">
        <w:rPr>
          <w:rFonts w:ascii="Calibri" w:eastAsia="Calibri" w:hAnsi="Calibri" w:cs="Times New Roman"/>
        </w:rPr>
        <w:t>Pupil premium learners in Y</w:t>
      </w:r>
      <w:r w:rsidR="00244540" w:rsidRPr="00760996">
        <w:rPr>
          <w:rFonts w:ascii="Calibri" w:eastAsia="Calibri" w:hAnsi="Calibri" w:cs="Times New Roman"/>
        </w:rPr>
        <w:t>ea</w:t>
      </w:r>
      <w:r w:rsidRPr="00D9641B">
        <w:rPr>
          <w:rFonts w:ascii="Calibri" w:eastAsia="Calibri" w:hAnsi="Calibri" w:cs="Times New Roman"/>
        </w:rPr>
        <w:t>r 8 are performing better than their non-pupil premium peers</w:t>
      </w:r>
    </w:p>
    <w:p w:rsidR="00494059" w:rsidRPr="00760996" w:rsidRDefault="00494059" w:rsidP="00494059"/>
    <w:p w:rsidR="00494059" w:rsidRPr="00760996" w:rsidRDefault="00D9641B" w:rsidP="00494059">
      <w:r w:rsidRPr="00760996">
        <w:rPr>
          <w:noProof/>
          <w:lang w:eastAsia="en-GB"/>
        </w:rPr>
        <w:drawing>
          <wp:inline distT="0" distB="0" distL="0" distR="0" wp14:anchorId="225A68FC" wp14:editId="017A5C79">
            <wp:extent cx="5852795" cy="28168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795" cy="2816860"/>
                    </a:xfrm>
                    <a:prstGeom prst="rect">
                      <a:avLst/>
                    </a:prstGeom>
                    <a:noFill/>
                  </pic:spPr>
                </pic:pic>
              </a:graphicData>
            </a:graphic>
          </wp:inline>
        </w:drawing>
      </w:r>
    </w:p>
    <w:p w:rsidR="00494059" w:rsidRPr="00760996" w:rsidRDefault="00494059" w:rsidP="00494059"/>
    <w:p w:rsidR="00D9641B" w:rsidRPr="00D9641B" w:rsidRDefault="00D9641B" w:rsidP="00D9641B">
      <w:pPr>
        <w:numPr>
          <w:ilvl w:val="0"/>
          <w:numId w:val="4"/>
        </w:numPr>
        <w:spacing w:after="0" w:line="240" w:lineRule="auto"/>
        <w:rPr>
          <w:rFonts w:ascii="Calibri" w:eastAsia="Calibri" w:hAnsi="Calibri" w:cs="Times New Roman"/>
        </w:rPr>
      </w:pPr>
      <w:r w:rsidRPr="00D9641B">
        <w:rPr>
          <w:rFonts w:ascii="Calibri" w:eastAsia="Calibri" w:hAnsi="Calibri" w:cs="Times New Roman"/>
        </w:rPr>
        <w:t xml:space="preserve">Pupils across Key Stage 4 are making excellent progress.  There is a significant improvement for </w:t>
      </w:r>
      <w:proofErr w:type="spellStart"/>
      <w:r w:rsidRPr="00D9641B">
        <w:rPr>
          <w:rFonts w:ascii="Calibri" w:eastAsia="Calibri" w:hAnsi="Calibri" w:cs="Times New Roman"/>
        </w:rPr>
        <w:t>Yr</w:t>
      </w:r>
      <w:proofErr w:type="spellEnd"/>
      <w:r w:rsidRPr="00D9641B">
        <w:rPr>
          <w:rFonts w:ascii="Calibri" w:eastAsia="Calibri" w:hAnsi="Calibri" w:cs="Times New Roman"/>
        </w:rPr>
        <w:t xml:space="preserve"> 11 from last year</w:t>
      </w:r>
      <w:r w:rsidRPr="00760996">
        <w:rPr>
          <w:rFonts w:ascii="Calibri" w:eastAsia="Calibri" w:hAnsi="Calibri" w:cs="Times New Roman"/>
        </w:rPr>
        <w:t>’</w:t>
      </w:r>
      <w:r w:rsidRPr="00D9641B">
        <w:rPr>
          <w:rFonts w:ascii="Calibri" w:eastAsia="Calibri" w:hAnsi="Calibri" w:cs="Times New Roman"/>
        </w:rPr>
        <w:t>s progress data (the number of pupils exceeding expected progress in particular)</w:t>
      </w:r>
    </w:p>
    <w:p w:rsidR="00D9641B" w:rsidRPr="00D9641B" w:rsidRDefault="00D9641B" w:rsidP="00D9641B">
      <w:pPr>
        <w:numPr>
          <w:ilvl w:val="0"/>
          <w:numId w:val="4"/>
        </w:numPr>
        <w:spacing w:after="0" w:line="240" w:lineRule="auto"/>
        <w:rPr>
          <w:rFonts w:ascii="Calibri" w:eastAsia="Calibri" w:hAnsi="Calibri" w:cs="Times New Roman"/>
        </w:rPr>
      </w:pPr>
      <w:r w:rsidRPr="00D9641B">
        <w:rPr>
          <w:rFonts w:ascii="Calibri" w:eastAsia="Calibri" w:hAnsi="Calibri" w:cs="Times New Roman"/>
        </w:rPr>
        <w:t xml:space="preserve">Pupil Premium Pupils in Year 11 are making excellent progress </w:t>
      </w:r>
    </w:p>
    <w:p w:rsidR="00D9641B" w:rsidRPr="00D9641B" w:rsidRDefault="00D9641B" w:rsidP="00D9641B">
      <w:pPr>
        <w:spacing w:after="0" w:line="240" w:lineRule="auto"/>
        <w:rPr>
          <w:rFonts w:ascii="Calibri" w:eastAsia="Calibri" w:hAnsi="Calibri" w:cs="Times New Roman"/>
        </w:rPr>
      </w:pPr>
    </w:p>
    <w:p w:rsidR="00494059" w:rsidRPr="00760996" w:rsidRDefault="00494059" w:rsidP="00494059"/>
    <w:p w:rsidR="00494059" w:rsidRPr="00760996" w:rsidRDefault="00494059" w:rsidP="00494059"/>
    <w:p w:rsidR="00494059" w:rsidRPr="00760996" w:rsidRDefault="00494059" w:rsidP="00494059"/>
    <w:p w:rsidR="00BA7666" w:rsidRDefault="00BA7666" w:rsidP="000E1494">
      <w:pPr>
        <w:pStyle w:val="IntenseQuote"/>
        <w:ind w:left="0"/>
        <w:rPr>
          <w:rFonts w:asciiTheme="majorHAnsi" w:hAnsiTheme="majorHAnsi"/>
          <w:sz w:val="26"/>
          <w:szCs w:val="26"/>
        </w:rPr>
      </w:pPr>
    </w:p>
    <w:p w:rsidR="002D1734" w:rsidRPr="00BA7666" w:rsidRDefault="00494059" w:rsidP="000E1494">
      <w:pPr>
        <w:pStyle w:val="IntenseQuote"/>
        <w:ind w:left="0"/>
        <w:rPr>
          <w:rFonts w:asciiTheme="majorHAnsi" w:hAnsiTheme="majorHAnsi"/>
          <w:color w:val="548DD4" w:themeColor="text2" w:themeTint="99"/>
          <w:sz w:val="26"/>
          <w:szCs w:val="26"/>
        </w:rPr>
      </w:pPr>
      <w:r w:rsidRPr="00BA7666">
        <w:rPr>
          <w:rFonts w:asciiTheme="majorHAnsi" w:hAnsiTheme="majorHAnsi"/>
          <w:color w:val="548DD4" w:themeColor="text2" w:themeTint="99"/>
          <w:sz w:val="26"/>
          <w:szCs w:val="26"/>
        </w:rPr>
        <w:lastRenderedPageBreak/>
        <w:t>Maths Data Analysis</w:t>
      </w:r>
      <w:r w:rsidR="00244540" w:rsidRPr="00BA7666">
        <w:rPr>
          <w:rFonts w:asciiTheme="majorHAnsi" w:hAnsiTheme="majorHAnsi"/>
          <w:color w:val="548DD4" w:themeColor="text2" w:themeTint="99"/>
          <w:sz w:val="26"/>
          <w:szCs w:val="26"/>
        </w:rPr>
        <w:t xml:space="preserve"> 2018-19</w:t>
      </w:r>
    </w:p>
    <w:p w:rsidR="00494059" w:rsidRPr="00760996" w:rsidRDefault="00494059" w:rsidP="004A4782">
      <w:pPr>
        <w:pStyle w:val="Heading2"/>
      </w:pPr>
    </w:p>
    <w:p w:rsidR="00494059" w:rsidRPr="00760996" w:rsidRDefault="00D9641B" w:rsidP="00494059">
      <w:r w:rsidRPr="00760996">
        <w:rPr>
          <w:noProof/>
          <w:lang w:eastAsia="en-GB"/>
        </w:rPr>
        <w:drawing>
          <wp:inline distT="0" distB="0" distL="0" distR="0" wp14:anchorId="4E3A4807" wp14:editId="2CEA059E">
            <wp:extent cx="5876925" cy="2853055"/>
            <wp:effectExtent l="0" t="0" r="952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2853055"/>
                    </a:xfrm>
                    <a:prstGeom prst="rect">
                      <a:avLst/>
                    </a:prstGeom>
                    <a:noFill/>
                  </pic:spPr>
                </pic:pic>
              </a:graphicData>
            </a:graphic>
          </wp:inline>
        </w:drawing>
      </w:r>
    </w:p>
    <w:p w:rsidR="00244540" w:rsidRPr="00244540" w:rsidRDefault="00244540" w:rsidP="00244540">
      <w:pPr>
        <w:numPr>
          <w:ilvl w:val="0"/>
          <w:numId w:val="7"/>
        </w:numPr>
        <w:spacing w:after="0" w:line="240" w:lineRule="auto"/>
        <w:rPr>
          <w:rFonts w:ascii="Calibri" w:eastAsia="Calibri" w:hAnsi="Calibri" w:cs="Times New Roman"/>
        </w:rPr>
      </w:pPr>
      <w:r w:rsidRPr="00244540">
        <w:rPr>
          <w:rFonts w:ascii="Calibri" w:eastAsia="Calibri" w:hAnsi="Calibri" w:cs="Times New Roman"/>
        </w:rPr>
        <w:t xml:space="preserve">Pupils made good progress in Years 8 and 9. </w:t>
      </w:r>
    </w:p>
    <w:p w:rsidR="00244540" w:rsidRPr="00244540" w:rsidRDefault="00244540" w:rsidP="00244540">
      <w:pPr>
        <w:numPr>
          <w:ilvl w:val="0"/>
          <w:numId w:val="7"/>
        </w:numPr>
        <w:spacing w:after="0" w:line="240" w:lineRule="auto"/>
        <w:rPr>
          <w:rFonts w:ascii="Calibri" w:eastAsia="Calibri" w:hAnsi="Calibri" w:cs="Times New Roman"/>
        </w:rPr>
      </w:pPr>
      <w:r w:rsidRPr="00244540">
        <w:rPr>
          <w:rFonts w:ascii="Calibri" w:eastAsia="Calibri" w:hAnsi="Calibri" w:cs="Times New Roman"/>
        </w:rPr>
        <w:t>Pupils in Y</w:t>
      </w:r>
      <w:r w:rsidR="00760996">
        <w:rPr>
          <w:rFonts w:ascii="Calibri" w:eastAsia="Calibri" w:hAnsi="Calibri" w:cs="Times New Roman"/>
        </w:rPr>
        <w:t>ea</w:t>
      </w:r>
      <w:r w:rsidRPr="00244540">
        <w:rPr>
          <w:rFonts w:ascii="Calibri" w:eastAsia="Calibri" w:hAnsi="Calibri" w:cs="Times New Roman"/>
        </w:rPr>
        <w:t>r 7 generally made good progress.  The percentage of pupils that did not make expected progress represents 2 pupils.  One of which has SEMH and found transition difficult and the other who made progress within Maths stages but did not quite reach target.  Both pupils will be given targeted intervention in the academic year 2019-20</w:t>
      </w:r>
    </w:p>
    <w:p w:rsidR="00244540" w:rsidRPr="00244540" w:rsidRDefault="00244540" w:rsidP="00244540">
      <w:pPr>
        <w:numPr>
          <w:ilvl w:val="0"/>
          <w:numId w:val="7"/>
        </w:numPr>
        <w:spacing w:after="0" w:line="240" w:lineRule="auto"/>
        <w:rPr>
          <w:rFonts w:ascii="Calibri" w:eastAsia="Calibri" w:hAnsi="Calibri" w:cs="Times New Roman"/>
        </w:rPr>
      </w:pPr>
      <w:r w:rsidRPr="00244540">
        <w:rPr>
          <w:rFonts w:ascii="Calibri" w:eastAsia="Calibri" w:hAnsi="Calibri" w:cs="Times New Roman"/>
        </w:rPr>
        <w:t>Pupil premium learners are making good progress but are at times exceeding  their peers in Key Stage 3</w:t>
      </w:r>
    </w:p>
    <w:p w:rsidR="00494059" w:rsidRPr="00760996" w:rsidRDefault="00494059" w:rsidP="00494059"/>
    <w:p w:rsidR="00494059" w:rsidRPr="00760996" w:rsidRDefault="00244540" w:rsidP="00494059">
      <w:r w:rsidRPr="00760996">
        <w:rPr>
          <w:noProof/>
          <w:lang w:eastAsia="en-GB"/>
        </w:rPr>
        <w:drawing>
          <wp:inline distT="0" distB="0" distL="0" distR="0" wp14:anchorId="28E651DF" wp14:editId="26DF98D4">
            <wp:extent cx="5767070" cy="281051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070" cy="2810510"/>
                    </a:xfrm>
                    <a:prstGeom prst="rect">
                      <a:avLst/>
                    </a:prstGeom>
                    <a:noFill/>
                  </pic:spPr>
                </pic:pic>
              </a:graphicData>
            </a:graphic>
          </wp:inline>
        </w:drawing>
      </w:r>
    </w:p>
    <w:p w:rsidR="00494059" w:rsidRPr="00760996" w:rsidRDefault="00494059" w:rsidP="00494059"/>
    <w:p w:rsidR="00244540" w:rsidRPr="00244540" w:rsidRDefault="00244540" w:rsidP="00244540">
      <w:pPr>
        <w:numPr>
          <w:ilvl w:val="0"/>
          <w:numId w:val="8"/>
        </w:numPr>
        <w:spacing w:after="0" w:line="240" w:lineRule="auto"/>
        <w:rPr>
          <w:rFonts w:ascii="Calibri" w:eastAsia="Calibri" w:hAnsi="Calibri" w:cs="Times New Roman"/>
        </w:rPr>
      </w:pPr>
      <w:r w:rsidRPr="00244540">
        <w:rPr>
          <w:rFonts w:ascii="Calibri" w:eastAsia="Calibri" w:hAnsi="Calibri" w:cs="Times New Roman"/>
        </w:rPr>
        <w:t>Very good progress is made across  Key Stage 4</w:t>
      </w:r>
    </w:p>
    <w:p w:rsidR="00244540" w:rsidRPr="00244540" w:rsidRDefault="00244540" w:rsidP="00244540">
      <w:pPr>
        <w:numPr>
          <w:ilvl w:val="0"/>
          <w:numId w:val="8"/>
        </w:numPr>
        <w:spacing w:after="0" w:line="240" w:lineRule="auto"/>
        <w:rPr>
          <w:rFonts w:ascii="Calibri" w:eastAsia="Calibri" w:hAnsi="Calibri" w:cs="Times New Roman"/>
        </w:rPr>
      </w:pPr>
      <w:r w:rsidRPr="00244540">
        <w:rPr>
          <w:rFonts w:ascii="Calibri" w:eastAsia="Calibri" w:hAnsi="Calibri" w:cs="Times New Roman"/>
        </w:rPr>
        <w:t xml:space="preserve">Pupil premium learners are in line with their </w:t>
      </w:r>
      <w:proofErr w:type="spellStart"/>
      <w:r w:rsidRPr="00244540">
        <w:rPr>
          <w:rFonts w:ascii="Calibri" w:eastAsia="Calibri" w:hAnsi="Calibri" w:cs="Times New Roman"/>
        </w:rPr>
        <w:t>their</w:t>
      </w:r>
      <w:proofErr w:type="spellEnd"/>
      <w:r w:rsidRPr="00244540">
        <w:rPr>
          <w:rFonts w:ascii="Calibri" w:eastAsia="Calibri" w:hAnsi="Calibri" w:cs="Times New Roman"/>
        </w:rPr>
        <w:t xml:space="preserve"> non-premium peers across the key stage</w:t>
      </w:r>
    </w:p>
    <w:p w:rsidR="00494059" w:rsidRPr="00760996" w:rsidRDefault="00494059" w:rsidP="00494059"/>
    <w:p w:rsidR="00494059" w:rsidRPr="00760996" w:rsidRDefault="00494059" w:rsidP="00494059"/>
    <w:p w:rsidR="00494059" w:rsidRPr="00760996" w:rsidRDefault="00494059" w:rsidP="00494059"/>
    <w:p w:rsidR="00D9641B" w:rsidRPr="00760996" w:rsidRDefault="00D9641B" w:rsidP="00D9641B">
      <w:pPr>
        <w:spacing w:after="0" w:line="240" w:lineRule="auto"/>
        <w:ind w:left="360"/>
        <w:rPr>
          <w:rFonts w:asciiTheme="majorHAnsi" w:eastAsia="Calibri" w:hAnsiTheme="majorHAnsi" w:cs="Times New Roman"/>
        </w:rPr>
      </w:pPr>
    </w:p>
    <w:p w:rsidR="00244540" w:rsidRPr="00BA7666" w:rsidRDefault="00244540" w:rsidP="00244540">
      <w:pPr>
        <w:pBdr>
          <w:bottom w:val="single" w:sz="4" w:space="4" w:color="4F81BD" w:themeColor="accent1"/>
        </w:pBdr>
        <w:spacing w:before="200" w:after="280"/>
        <w:ind w:right="936"/>
        <w:rPr>
          <w:rFonts w:asciiTheme="majorHAnsi" w:hAnsiTheme="majorHAnsi"/>
          <w:b/>
          <w:bCs/>
          <w:iCs/>
          <w:color w:val="548DD4" w:themeColor="text2" w:themeTint="99"/>
          <w:sz w:val="26"/>
          <w:szCs w:val="26"/>
        </w:rPr>
      </w:pPr>
      <w:r w:rsidRPr="00BA7666">
        <w:rPr>
          <w:rFonts w:asciiTheme="majorHAnsi" w:hAnsiTheme="majorHAnsi"/>
          <w:b/>
          <w:bCs/>
          <w:iCs/>
          <w:color w:val="548DD4" w:themeColor="text2" w:themeTint="99"/>
          <w:sz w:val="26"/>
          <w:szCs w:val="26"/>
        </w:rPr>
        <w:t>Analysis of LAC data</w:t>
      </w:r>
      <w:r w:rsidR="00760996" w:rsidRPr="00BA7666">
        <w:rPr>
          <w:rFonts w:asciiTheme="majorHAnsi" w:hAnsiTheme="majorHAnsi"/>
          <w:b/>
          <w:bCs/>
          <w:iCs/>
          <w:color w:val="548DD4" w:themeColor="text2" w:themeTint="99"/>
          <w:sz w:val="26"/>
          <w:szCs w:val="26"/>
        </w:rPr>
        <w:t xml:space="preserve"> 2018-19</w:t>
      </w:r>
    </w:p>
    <w:tbl>
      <w:tblPr>
        <w:tblW w:w="9268" w:type="dxa"/>
        <w:tblLayout w:type="fixed"/>
        <w:tblLook w:val="04A0" w:firstRow="1" w:lastRow="0" w:firstColumn="1" w:lastColumn="0" w:noHBand="0" w:noVBand="1"/>
      </w:tblPr>
      <w:tblGrid>
        <w:gridCol w:w="1696"/>
        <w:gridCol w:w="2524"/>
        <w:gridCol w:w="2524"/>
        <w:gridCol w:w="2524"/>
      </w:tblGrid>
      <w:tr w:rsidR="00244540" w:rsidRPr="00244540" w:rsidTr="00812EED">
        <w:trPr>
          <w:trHeight w:val="91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Key Stage</w:t>
            </w:r>
          </w:p>
        </w:tc>
        <w:tc>
          <w:tcPr>
            <w:tcW w:w="2524" w:type="dxa"/>
            <w:tcBorders>
              <w:top w:val="single" w:sz="4" w:space="0" w:color="auto"/>
              <w:left w:val="nil"/>
              <w:bottom w:val="single" w:sz="4" w:space="0" w:color="auto"/>
              <w:right w:val="single" w:sz="4" w:space="0" w:color="auto"/>
            </w:tcBorders>
            <w:shd w:val="clear" w:color="000000" w:fill="FF0000"/>
            <w:vAlign w:val="bottom"/>
            <w:hideMark/>
          </w:tcPr>
          <w:p w:rsidR="00244540" w:rsidRPr="00244540" w:rsidRDefault="00244540" w:rsidP="00244540">
            <w:pPr>
              <w:spacing w:after="160" w:line="259" w:lineRule="auto"/>
              <w:rPr>
                <w:rFonts w:ascii="Calibri" w:eastAsia="Calibri" w:hAnsi="Calibri" w:cs="Times New Roman"/>
              </w:rPr>
            </w:pPr>
            <w:r w:rsidRPr="00244540">
              <w:rPr>
                <w:rFonts w:ascii="Calibri" w:eastAsia="Calibri" w:hAnsi="Calibri" w:cs="Times New Roman"/>
              </w:rPr>
              <w:t>Less than Expected Progress</w:t>
            </w:r>
          </w:p>
        </w:tc>
        <w:tc>
          <w:tcPr>
            <w:tcW w:w="2524" w:type="dxa"/>
            <w:tcBorders>
              <w:top w:val="single" w:sz="4" w:space="0" w:color="auto"/>
              <w:left w:val="nil"/>
              <w:bottom w:val="single" w:sz="4" w:space="0" w:color="auto"/>
              <w:right w:val="single" w:sz="4" w:space="0" w:color="auto"/>
            </w:tcBorders>
            <w:shd w:val="clear" w:color="000000" w:fill="92D050"/>
            <w:vAlign w:val="bottom"/>
            <w:hideMark/>
          </w:tcPr>
          <w:p w:rsidR="00244540" w:rsidRPr="00244540" w:rsidRDefault="00244540" w:rsidP="00244540">
            <w:pPr>
              <w:spacing w:after="160" w:line="259" w:lineRule="auto"/>
              <w:rPr>
                <w:rFonts w:ascii="Calibri" w:eastAsia="Calibri" w:hAnsi="Calibri" w:cs="Times New Roman"/>
              </w:rPr>
            </w:pPr>
            <w:r w:rsidRPr="00244540">
              <w:rPr>
                <w:rFonts w:ascii="Calibri" w:eastAsia="Calibri" w:hAnsi="Calibri" w:cs="Times New Roman"/>
              </w:rPr>
              <w:t>Expected Progress</w:t>
            </w:r>
          </w:p>
        </w:tc>
        <w:tc>
          <w:tcPr>
            <w:tcW w:w="2524" w:type="dxa"/>
            <w:tcBorders>
              <w:top w:val="single" w:sz="4" w:space="0" w:color="auto"/>
              <w:left w:val="nil"/>
              <w:bottom w:val="single" w:sz="4" w:space="0" w:color="auto"/>
              <w:right w:val="single" w:sz="4" w:space="0" w:color="auto"/>
            </w:tcBorders>
            <w:shd w:val="clear" w:color="auto" w:fill="CC66FF"/>
            <w:vAlign w:val="bottom"/>
            <w:hideMark/>
          </w:tcPr>
          <w:p w:rsidR="00244540" w:rsidRPr="00244540" w:rsidRDefault="00244540" w:rsidP="00244540">
            <w:pPr>
              <w:spacing w:after="160" w:line="259" w:lineRule="auto"/>
              <w:rPr>
                <w:rFonts w:ascii="Calibri" w:eastAsia="Calibri" w:hAnsi="Calibri" w:cs="Times New Roman"/>
              </w:rPr>
            </w:pPr>
            <w:r w:rsidRPr="00244540">
              <w:rPr>
                <w:rFonts w:ascii="Calibri" w:eastAsia="Calibri" w:hAnsi="Calibri" w:cs="Times New Roman"/>
              </w:rPr>
              <w:t>Exceeded Expected Progress</w:t>
            </w:r>
          </w:p>
        </w:tc>
      </w:tr>
      <w:tr w:rsidR="00244540" w:rsidRPr="00244540" w:rsidTr="00812EED">
        <w:trPr>
          <w:trHeight w:val="41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KS4 English</w:t>
            </w:r>
          </w:p>
        </w:tc>
        <w:tc>
          <w:tcPr>
            <w:tcW w:w="2524" w:type="dxa"/>
            <w:tcBorders>
              <w:top w:val="single" w:sz="4" w:space="0" w:color="auto"/>
              <w:left w:val="nil"/>
              <w:bottom w:val="single" w:sz="4" w:space="0" w:color="auto"/>
              <w:right w:val="single" w:sz="4" w:space="0" w:color="auto"/>
            </w:tcBorders>
            <w:shd w:val="clear" w:color="auto" w:fill="FFFFFF" w:themeFill="background1"/>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0%</w:t>
            </w:r>
          </w:p>
        </w:tc>
        <w:tc>
          <w:tcPr>
            <w:tcW w:w="2524" w:type="dxa"/>
            <w:tcBorders>
              <w:top w:val="single" w:sz="4" w:space="0" w:color="auto"/>
              <w:left w:val="nil"/>
              <w:bottom w:val="single" w:sz="4" w:space="0" w:color="auto"/>
              <w:right w:val="single" w:sz="4" w:space="0" w:color="auto"/>
            </w:tcBorders>
            <w:shd w:val="clear" w:color="auto" w:fill="FFFFFF" w:themeFill="background1"/>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100%</w:t>
            </w:r>
          </w:p>
        </w:tc>
        <w:tc>
          <w:tcPr>
            <w:tcW w:w="2524" w:type="dxa"/>
            <w:tcBorders>
              <w:top w:val="single" w:sz="4" w:space="0" w:color="auto"/>
              <w:left w:val="nil"/>
              <w:bottom w:val="single" w:sz="4" w:space="0" w:color="auto"/>
              <w:right w:val="single" w:sz="4" w:space="0" w:color="auto"/>
            </w:tcBorders>
            <w:shd w:val="clear" w:color="auto" w:fill="FFFFFF" w:themeFill="background1"/>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0%</w:t>
            </w:r>
          </w:p>
        </w:tc>
      </w:tr>
      <w:tr w:rsidR="00244540" w:rsidRPr="00244540" w:rsidTr="00812EED">
        <w:trPr>
          <w:trHeight w:val="334"/>
        </w:trPr>
        <w:tc>
          <w:tcPr>
            <w:tcW w:w="1696" w:type="dxa"/>
            <w:tcBorders>
              <w:top w:val="nil"/>
              <w:left w:val="single" w:sz="4" w:space="0" w:color="auto"/>
              <w:bottom w:val="single" w:sz="4" w:space="0" w:color="auto"/>
              <w:right w:val="single" w:sz="4" w:space="0" w:color="auto"/>
            </w:tcBorders>
            <w:shd w:val="clear" w:color="auto" w:fill="auto"/>
            <w:noWrap/>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KS4 Maths</w:t>
            </w:r>
          </w:p>
        </w:tc>
        <w:tc>
          <w:tcPr>
            <w:tcW w:w="2524" w:type="dxa"/>
            <w:tcBorders>
              <w:top w:val="nil"/>
              <w:left w:val="nil"/>
              <w:bottom w:val="single" w:sz="4" w:space="0" w:color="auto"/>
              <w:right w:val="single" w:sz="4" w:space="0" w:color="auto"/>
            </w:tcBorders>
            <w:shd w:val="clear" w:color="auto" w:fill="auto"/>
            <w:noWrap/>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0%</w:t>
            </w:r>
          </w:p>
        </w:tc>
        <w:tc>
          <w:tcPr>
            <w:tcW w:w="2524" w:type="dxa"/>
            <w:tcBorders>
              <w:top w:val="nil"/>
              <w:left w:val="nil"/>
              <w:bottom w:val="single" w:sz="4" w:space="0" w:color="auto"/>
              <w:right w:val="single" w:sz="4" w:space="0" w:color="auto"/>
            </w:tcBorders>
            <w:shd w:val="clear" w:color="auto" w:fill="auto"/>
            <w:noWrap/>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100%</w:t>
            </w:r>
          </w:p>
        </w:tc>
        <w:tc>
          <w:tcPr>
            <w:tcW w:w="2524" w:type="dxa"/>
            <w:tcBorders>
              <w:top w:val="nil"/>
              <w:left w:val="nil"/>
              <w:bottom w:val="single" w:sz="4" w:space="0" w:color="auto"/>
              <w:right w:val="single" w:sz="4" w:space="0" w:color="auto"/>
            </w:tcBorders>
            <w:shd w:val="clear" w:color="auto" w:fill="auto"/>
            <w:noWrap/>
            <w:vAlign w:val="center"/>
          </w:tcPr>
          <w:p w:rsidR="00244540" w:rsidRPr="00244540" w:rsidRDefault="00244540" w:rsidP="00244540">
            <w:pPr>
              <w:spacing w:after="160" w:line="259" w:lineRule="auto"/>
              <w:jc w:val="center"/>
              <w:rPr>
                <w:rFonts w:ascii="Calibri" w:eastAsia="Calibri" w:hAnsi="Calibri" w:cs="Times New Roman"/>
              </w:rPr>
            </w:pPr>
            <w:r w:rsidRPr="00244540">
              <w:rPr>
                <w:rFonts w:ascii="Calibri" w:eastAsia="Calibri" w:hAnsi="Calibri" w:cs="Times New Roman"/>
              </w:rPr>
              <w:t>0%</w:t>
            </w:r>
          </w:p>
        </w:tc>
      </w:tr>
    </w:tbl>
    <w:p w:rsidR="00D9641B" w:rsidRPr="00760996" w:rsidRDefault="00D9641B" w:rsidP="00D9641B">
      <w:pPr>
        <w:spacing w:after="0" w:line="240" w:lineRule="auto"/>
        <w:ind w:left="720"/>
        <w:rPr>
          <w:rFonts w:asciiTheme="majorHAnsi" w:eastAsia="Calibri" w:hAnsiTheme="majorHAnsi" w:cs="Times New Roman"/>
        </w:rPr>
      </w:pPr>
    </w:p>
    <w:p w:rsidR="00D9641B" w:rsidRPr="00760996" w:rsidRDefault="00D9641B" w:rsidP="00D9641B">
      <w:pPr>
        <w:spacing w:after="0" w:line="240" w:lineRule="auto"/>
        <w:ind w:left="720"/>
        <w:rPr>
          <w:rFonts w:asciiTheme="majorHAnsi" w:eastAsia="Calibri" w:hAnsiTheme="majorHAnsi" w:cs="Times New Roman"/>
        </w:rPr>
      </w:pPr>
    </w:p>
    <w:p w:rsidR="00244540" w:rsidRPr="00244540" w:rsidRDefault="00244540" w:rsidP="00244540">
      <w:pPr>
        <w:numPr>
          <w:ilvl w:val="0"/>
          <w:numId w:val="12"/>
        </w:numPr>
        <w:spacing w:after="160" w:line="259" w:lineRule="auto"/>
        <w:contextualSpacing/>
        <w:rPr>
          <w:rFonts w:ascii="Calibri" w:eastAsia="Calibri" w:hAnsi="Calibri" w:cs="Times New Roman"/>
        </w:rPr>
      </w:pPr>
      <w:r w:rsidRPr="00244540">
        <w:rPr>
          <w:rFonts w:ascii="Calibri" w:eastAsia="Calibri" w:hAnsi="Calibri" w:cs="Times New Roman"/>
        </w:rPr>
        <w:t>LAC pupils make very good progress and are in line with their peers</w:t>
      </w:r>
    </w:p>
    <w:p w:rsidR="00D9641B" w:rsidRPr="00760996" w:rsidRDefault="00D9641B" w:rsidP="00D9641B">
      <w:pPr>
        <w:spacing w:after="0" w:line="240" w:lineRule="auto"/>
        <w:ind w:left="720"/>
        <w:rPr>
          <w:rFonts w:asciiTheme="majorHAnsi" w:eastAsia="Calibri" w:hAnsiTheme="majorHAnsi" w:cs="Times New Roman"/>
        </w:rPr>
      </w:pPr>
    </w:p>
    <w:p w:rsidR="00F7603C" w:rsidRPr="00F7603C" w:rsidRDefault="00C22FD0" w:rsidP="00F7603C">
      <w:pPr>
        <w:pStyle w:val="IntenseQuote"/>
        <w:ind w:left="0"/>
        <w:rPr>
          <w:rFonts w:asciiTheme="majorHAnsi" w:hAnsiTheme="majorHAnsi"/>
          <w:i w:val="0"/>
          <w:color w:val="548DD4" w:themeColor="text2" w:themeTint="99"/>
          <w:sz w:val="26"/>
          <w:szCs w:val="26"/>
        </w:rPr>
      </w:pPr>
      <w:r w:rsidRPr="00BA7666">
        <w:rPr>
          <w:rFonts w:asciiTheme="majorHAnsi" w:hAnsiTheme="majorHAnsi"/>
          <w:i w:val="0"/>
          <w:color w:val="548DD4" w:themeColor="text2" w:themeTint="99"/>
          <w:sz w:val="26"/>
          <w:szCs w:val="26"/>
        </w:rPr>
        <w:t>Progress Summary Statement</w:t>
      </w:r>
      <w:r w:rsidR="00F7603C">
        <w:rPr>
          <w:rFonts w:asciiTheme="majorHAnsi" w:hAnsiTheme="majorHAnsi"/>
          <w:i w:val="0"/>
          <w:color w:val="548DD4" w:themeColor="text2" w:themeTint="99"/>
          <w:sz w:val="26"/>
          <w:szCs w:val="26"/>
        </w:rPr>
        <w:t xml:space="preserve"> </w:t>
      </w:r>
      <w:bookmarkStart w:id="1" w:name="_GoBack"/>
      <w:bookmarkEnd w:id="1"/>
    </w:p>
    <w:p w:rsidR="00C22FD0" w:rsidRPr="00760996" w:rsidRDefault="00C22FD0" w:rsidP="00244540">
      <w:pPr>
        <w:pStyle w:val="ListParagraph"/>
        <w:numPr>
          <w:ilvl w:val="0"/>
          <w:numId w:val="12"/>
        </w:numPr>
        <w:pBdr>
          <w:top w:val="thinThickSmallGap" w:sz="24" w:space="0" w:color="B4C6E7"/>
          <w:left w:val="thinThickSmallGap" w:sz="24" w:space="4" w:color="B4C6E7"/>
          <w:bottom w:val="thickThinSmallGap" w:sz="24" w:space="1" w:color="B4C6E7"/>
          <w:right w:val="thickThinSmallGap" w:sz="24" w:space="4" w:color="B4C6E7"/>
        </w:pBdr>
        <w:spacing w:after="160" w:line="259" w:lineRule="auto"/>
        <w:rPr>
          <w:rFonts w:asciiTheme="majorHAnsi" w:eastAsia="Calibri" w:hAnsiTheme="majorHAnsi" w:cs="Times New Roman"/>
        </w:rPr>
      </w:pPr>
      <w:r w:rsidRPr="00760996">
        <w:rPr>
          <w:rFonts w:asciiTheme="majorHAnsi" w:eastAsia="Calibri" w:hAnsiTheme="majorHAnsi" w:cs="Times New Roman"/>
        </w:rPr>
        <w:t>Pupil Premium learners are making the same if not more progress overall than their non-pupil premium peers</w:t>
      </w:r>
    </w:p>
    <w:p w:rsidR="00244540" w:rsidRPr="00760996" w:rsidRDefault="00244540" w:rsidP="00244540">
      <w:pPr>
        <w:pStyle w:val="ListParagraph"/>
        <w:numPr>
          <w:ilvl w:val="0"/>
          <w:numId w:val="12"/>
        </w:numPr>
        <w:pBdr>
          <w:top w:val="thinThickSmallGap" w:sz="24" w:space="0" w:color="B4C6E7"/>
          <w:left w:val="thinThickSmallGap" w:sz="24" w:space="4" w:color="B4C6E7"/>
          <w:bottom w:val="thickThinSmallGap" w:sz="24" w:space="1" w:color="B4C6E7"/>
          <w:right w:val="thickThinSmallGap" w:sz="24" w:space="4" w:color="B4C6E7"/>
        </w:pBdr>
        <w:spacing w:after="160" w:line="259" w:lineRule="auto"/>
        <w:rPr>
          <w:rFonts w:asciiTheme="majorHAnsi" w:eastAsia="Calibri" w:hAnsiTheme="majorHAnsi" w:cs="Times New Roman"/>
        </w:rPr>
      </w:pPr>
      <w:r w:rsidRPr="00760996">
        <w:rPr>
          <w:rFonts w:asciiTheme="majorHAnsi" w:eastAsia="Calibri" w:hAnsiTheme="majorHAnsi" w:cs="Times New Roman"/>
        </w:rPr>
        <w:t>LAC pupils in receipt of Pupil Premium Plus funding are making very good progress in line with their peers</w:t>
      </w:r>
    </w:p>
    <w:p w:rsidR="00244540" w:rsidRPr="00760996" w:rsidRDefault="00244540" w:rsidP="0078629E">
      <w:pPr>
        <w:pBdr>
          <w:top w:val="thinThickSmallGap" w:sz="24" w:space="0" w:color="B4C6E7"/>
          <w:left w:val="thinThickSmallGap" w:sz="24" w:space="4" w:color="B4C6E7"/>
          <w:bottom w:val="thickThinSmallGap" w:sz="24" w:space="1" w:color="B4C6E7"/>
          <w:right w:val="thickThinSmallGap" w:sz="24" w:space="4" w:color="B4C6E7"/>
        </w:pBdr>
        <w:spacing w:after="160" w:line="259" w:lineRule="auto"/>
        <w:ind w:left="360"/>
        <w:rPr>
          <w:rFonts w:asciiTheme="majorHAnsi" w:eastAsia="Calibri" w:hAnsiTheme="majorHAnsi" w:cs="Times New Roman"/>
        </w:rPr>
      </w:pPr>
    </w:p>
    <w:p w:rsidR="006505E4" w:rsidRPr="00760996" w:rsidRDefault="006505E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BA7666" w:rsidRDefault="007A1F8B" w:rsidP="007A1F8B">
      <w:pPr>
        <w:pStyle w:val="IntenseQuote"/>
        <w:ind w:left="0"/>
        <w:rPr>
          <w:rFonts w:asciiTheme="majorHAnsi" w:hAnsiTheme="majorHAnsi"/>
          <w:i w:val="0"/>
          <w:color w:val="548DD4" w:themeColor="text2" w:themeTint="99"/>
          <w:w w:val="105"/>
          <w:sz w:val="26"/>
          <w:szCs w:val="26"/>
          <w:lang w:val="en-US"/>
        </w:rPr>
      </w:pPr>
      <w:r w:rsidRPr="00BA7666">
        <w:rPr>
          <w:rFonts w:asciiTheme="majorHAnsi" w:hAnsiTheme="majorHAnsi"/>
          <w:i w:val="0"/>
          <w:color w:val="548DD4" w:themeColor="text2" w:themeTint="99"/>
          <w:w w:val="105"/>
          <w:sz w:val="26"/>
          <w:szCs w:val="26"/>
          <w:lang w:val="en-US"/>
        </w:rPr>
        <w:t>Attendance Analysis for Pupil Premium students 2018-19</w:t>
      </w:r>
    </w:p>
    <w:p w:rsidR="002D1734" w:rsidRPr="00760996" w:rsidRDefault="003A610C" w:rsidP="007A1F8B">
      <w:pPr>
        <w:pStyle w:val="Heading2"/>
        <w:rPr>
          <w:rFonts w:ascii="Arial" w:eastAsia="Arial" w:hAnsi="Arial" w:cs="Arial"/>
          <w:color w:val="1F3864"/>
          <w:w w:val="105"/>
          <w:sz w:val="21"/>
          <w:szCs w:val="21"/>
          <w:lang w:val="en-US"/>
        </w:rPr>
      </w:pPr>
      <w:r w:rsidRPr="00760996">
        <w:rPr>
          <w:rFonts w:ascii="Arial" w:eastAsia="Arial" w:hAnsi="Arial" w:cs="Arial"/>
          <w:color w:val="1F3864"/>
          <w:w w:val="105"/>
          <w:sz w:val="21"/>
          <w:szCs w:val="21"/>
          <w:lang w:val="en-US"/>
        </w:rPr>
        <w:t xml:space="preserve"> </w:t>
      </w:r>
    </w:p>
    <w:tbl>
      <w:tblPr>
        <w:tblStyle w:val="TableGrid"/>
        <w:tblW w:w="0" w:type="auto"/>
        <w:tblLook w:val="04A0" w:firstRow="1" w:lastRow="0" w:firstColumn="1" w:lastColumn="0" w:noHBand="0" w:noVBand="1"/>
      </w:tblPr>
      <w:tblGrid>
        <w:gridCol w:w="2093"/>
        <w:gridCol w:w="2693"/>
        <w:gridCol w:w="5494"/>
      </w:tblGrid>
      <w:tr w:rsidR="007A1F8B" w:rsidRPr="00760996" w:rsidTr="000E1494">
        <w:tc>
          <w:tcPr>
            <w:tcW w:w="2093" w:type="dxa"/>
            <w:shd w:val="clear" w:color="auto" w:fill="C6D9F1" w:themeFill="text2" w:themeFillTint="33"/>
          </w:tcPr>
          <w:p w:rsidR="007A1F8B" w:rsidRPr="00760996" w:rsidRDefault="003A610C"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2018-19</w:t>
            </w:r>
          </w:p>
        </w:tc>
        <w:tc>
          <w:tcPr>
            <w:tcW w:w="2693" w:type="dxa"/>
            <w:shd w:val="clear" w:color="auto" w:fill="C6D9F1" w:themeFill="text2" w:themeFillTint="33"/>
          </w:tcPr>
          <w:p w:rsidR="007A1F8B"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Overall attendance</w:t>
            </w:r>
          </w:p>
        </w:tc>
        <w:tc>
          <w:tcPr>
            <w:tcW w:w="5494" w:type="dxa"/>
            <w:shd w:val="clear" w:color="auto" w:fill="C6D9F1" w:themeFill="text2" w:themeFillTint="33"/>
          </w:tcPr>
          <w:p w:rsidR="003A610C"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Persistent absence</w:t>
            </w:r>
            <w:r w:rsidR="003A610C" w:rsidRPr="00760996">
              <w:rPr>
                <w:rFonts w:asciiTheme="majorHAnsi" w:eastAsia="Arial" w:hAnsiTheme="majorHAnsi" w:cs="Arial"/>
                <w:b/>
                <w:bCs/>
                <w:color w:val="1F3864"/>
                <w:w w:val="105"/>
                <w:sz w:val="21"/>
                <w:szCs w:val="21"/>
              </w:rPr>
              <w:t xml:space="preserve"> </w:t>
            </w:r>
          </w:p>
          <w:p w:rsidR="007A1F8B" w:rsidRPr="00760996" w:rsidRDefault="003A610C"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(absent for 10% or more of sessions)</w:t>
            </w:r>
          </w:p>
        </w:tc>
      </w:tr>
      <w:tr w:rsidR="007A1F8B" w:rsidRPr="00760996" w:rsidTr="003A610C">
        <w:tc>
          <w:tcPr>
            <w:tcW w:w="2093" w:type="dxa"/>
          </w:tcPr>
          <w:p w:rsidR="007A1F8B" w:rsidRPr="00760996" w:rsidRDefault="007A1F8B" w:rsidP="007A1F8B">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PP</w:t>
            </w:r>
          </w:p>
        </w:tc>
        <w:tc>
          <w:tcPr>
            <w:tcW w:w="2693" w:type="dxa"/>
          </w:tcPr>
          <w:p w:rsidR="007A1F8B"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92.8%</w:t>
            </w:r>
          </w:p>
        </w:tc>
        <w:tc>
          <w:tcPr>
            <w:tcW w:w="5494" w:type="dxa"/>
          </w:tcPr>
          <w:p w:rsidR="007A1F8B"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20.6% (7 pupils)</w:t>
            </w:r>
          </w:p>
        </w:tc>
      </w:tr>
      <w:tr w:rsidR="007A1F8B" w:rsidRPr="00760996" w:rsidTr="003A610C">
        <w:tc>
          <w:tcPr>
            <w:tcW w:w="2093" w:type="dxa"/>
          </w:tcPr>
          <w:p w:rsidR="007A1F8B"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Non PP</w:t>
            </w:r>
          </w:p>
        </w:tc>
        <w:tc>
          <w:tcPr>
            <w:tcW w:w="2693" w:type="dxa"/>
          </w:tcPr>
          <w:p w:rsidR="007A1F8B"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91.5%</w:t>
            </w:r>
          </w:p>
        </w:tc>
        <w:tc>
          <w:tcPr>
            <w:tcW w:w="5494" w:type="dxa"/>
          </w:tcPr>
          <w:p w:rsidR="007A1F8B" w:rsidRPr="00760996" w:rsidRDefault="007A1F8B" w:rsidP="00CD37A6">
            <w:pPr>
              <w:spacing w:before="1"/>
              <w:outlineLvl w:val="2"/>
              <w:rPr>
                <w:rFonts w:asciiTheme="majorHAnsi" w:eastAsia="Arial" w:hAnsiTheme="majorHAnsi" w:cs="Arial"/>
                <w:b/>
                <w:bCs/>
                <w:color w:val="1F3864"/>
                <w:w w:val="105"/>
                <w:sz w:val="21"/>
                <w:szCs w:val="21"/>
              </w:rPr>
            </w:pPr>
            <w:r w:rsidRPr="00760996">
              <w:rPr>
                <w:rFonts w:asciiTheme="majorHAnsi" w:eastAsia="Arial" w:hAnsiTheme="majorHAnsi" w:cs="Arial"/>
                <w:b/>
                <w:bCs/>
                <w:color w:val="1F3864"/>
                <w:w w:val="105"/>
                <w:sz w:val="21"/>
                <w:szCs w:val="21"/>
              </w:rPr>
              <w:t>26.4% (14 pupils)</w:t>
            </w:r>
          </w:p>
        </w:tc>
      </w:tr>
    </w:tbl>
    <w:p w:rsidR="002D1734" w:rsidRPr="00760996" w:rsidRDefault="002D1734" w:rsidP="00CD37A6">
      <w:pPr>
        <w:widowControl w:val="0"/>
        <w:autoSpaceDE w:val="0"/>
        <w:autoSpaceDN w:val="0"/>
        <w:spacing w:before="1" w:after="0" w:line="240" w:lineRule="auto"/>
        <w:outlineLvl w:val="2"/>
        <w:rPr>
          <w:rFonts w:asciiTheme="majorHAnsi" w:eastAsia="Arial" w:hAnsiTheme="majorHAnsi" w:cs="Arial"/>
          <w:b/>
          <w:bCs/>
          <w:color w:val="1F3864"/>
          <w:w w:val="105"/>
          <w:sz w:val="21"/>
          <w:szCs w:val="21"/>
          <w:lang w:val="en-US"/>
        </w:rPr>
      </w:pPr>
    </w:p>
    <w:p w:rsidR="002D1734" w:rsidRPr="000E1494" w:rsidRDefault="007A1F8B" w:rsidP="00CD37A6">
      <w:pPr>
        <w:pStyle w:val="ListParagraph"/>
        <w:widowControl w:val="0"/>
        <w:numPr>
          <w:ilvl w:val="0"/>
          <w:numId w:val="8"/>
        </w:numPr>
        <w:autoSpaceDE w:val="0"/>
        <w:autoSpaceDN w:val="0"/>
        <w:spacing w:before="1" w:after="0" w:line="240" w:lineRule="auto"/>
        <w:outlineLvl w:val="2"/>
        <w:rPr>
          <w:rFonts w:asciiTheme="majorHAnsi" w:eastAsia="Arial" w:hAnsiTheme="majorHAnsi" w:cs="Arial"/>
          <w:bCs/>
          <w:w w:val="105"/>
          <w:sz w:val="21"/>
          <w:szCs w:val="21"/>
          <w:lang w:val="en-US"/>
        </w:rPr>
      </w:pPr>
      <w:r w:rsidRPr="000E1494">
        <w:rPr>
          <w:rFonts w:asciiTheme="majorHAnsi" w:eastAsia="Arial" w:hAnsiTheme="majorHAnsi" w:cs="Arial"/>
          <w:bCs/>
          <w:w w:val="105"/>
          <w:sz w:val="21"/>
          <w:szCs w:val="21"/>
          <w:lang w:val="en-US"/>
        </w:rPr>
        <w:t>Pupi</w:t>
      </w:r>
      <w:r w:rsidR="003A610C" w:rsidRPr="000E1494">
        <w:rPr>
          <w:rFonts w:asciiTheme="majorHAnsi" w:eastAsia="Arial" w:hAnsiTheme="majorHAnsi" w:cs="Arial"/>
          <w:bCs/>
          <w:w w:val="105"/>
          <w:sz w:val="21"/>
          <w:szCs w:val="21"/>
          <w:lang w:val="en-US"/>
        </w:rPr>
        <w:t>l Premium students attendance was</w:t>
      </w:r>
      <w:r w:rsidRPr="000E1494">
        <w:rPr>
          <w:rFonts w:asciiTheme="majorHAnsi" w:eastAsia="Arial" w:hAnsiTheme="majorHAnsi" w:cs="Arial"/>
          <w:bCs/>
          <w:w w:val="105"/>
          <w:sz w:val="21"/>
          <w:szCs w:val="21"/>
          <w:lang w:val="en-US"/>
        </w:rPr>
        <w:t xml:space="preserve"> </w:t>
      </w:r>
      <w:r w:rsidR="003A610C" w:rsidRPr="000E1494">
        <w:rPr>
          <w:rFonts w:asciiTheme="majorHAnsi" w:eastAsia="Arial" w:hAnsiTheme="majorHAnsi" w:cs="Arial"/>
          <w:bCs/>
          <w:w w:val="105"/>
          <w:sz w:val="21"/>
          <w:szCs w:val="21"/>
          <w:lang w:val="en-US"/>
        </w:rPr>
        <w:t>higher than Non PP students</w:t>
      </w:r>
    </w:p>
    <w:p w:rsidR="003A610C" w:rsidRPr="000E1494" w:rsidRDefault="003A610C" w:rsidP="00CD37A6">
      <w:pPr>
        <w:pStyle w:val="ListParagraph"/>
        <w:widowControl w:val="0"/>
        <w:numPr>
          <w:ilvl w:val="0"/>
          <w:numId w:val="8"/>
        </w:numPr>
        <w:autoSpaceDE w:val="0"/>
        <w:autoSpaceDN w:val="0"/>
        <w:spacing w:before="1" w:after="0" w:line="240" w:lineRule="auto"/>
        <w:outlineLvl w:val="2"/>
        <w:rPr>
          <w:rFonts w:asciiTheme="majorHAnsi" w:eastAsia="Arial" w:hAnsiTheme="majorHAnsi" w:cs="Arial"/>
          <w:bCs/>
          <w:w w:val="105"/>
          <w:sz w:val="21"/>
          <w:szCs w:val="21"/>
          <w:lang w:val="en-US"/>
        </w:rPr>
      </w:pPr>
      <w:r w:rsidRPr="000E1494">
        <w:rPr>
          <w:rFonts w:asciiTheme="majorHAnsi" w:eastAsia="Arial" w:hAnsiTheme="majorHAnsi" w:cs="Arial"/>
          <w:bCs/>
          <w:w w:val="105"/>
          <w:sz w:val="21"/>
          <w:szCs w:val="21"/>
          <w:lang w:val="en-US"/>
        </w:rPr>
        <w:t>Persistent absence of PP students was less than that of Non PP students</w:t>
      </w:r>
    </w:p>
    <w:p w:rsidR="002D1734" w:rsidRPr="00760996" w:rsidRDefault="002D1734" w:rsidP="00CD37A6">
      <w:pPr>
        <w:widowControl w:val="0"/>
        <w:autoSpaceDE w:val="0"/>
        <w:autoSpaceDN w:val="0"/>
        <w:spacing w:before="1" w:after="0" w:line="240" w:lineRule="auto"/>
        <w:outlineLvl w:val="2"/>
        <w:rPr>
          <w:rFonts w:asciiTheme="majorHAnsi" w:eastAsia="Arial" w:hAnsiTheme="majorHAnsi"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760996" w:rsidRDefault="002D1734" w:rsidP="00CD37A6">
      <w:pPr>
        <w:widowControl w:val="0"/>
        <w:autoSpaceDE w:val="0"/>
        <w:autoSpaceDN w:val="0"/>
        <w:spacing w:before="1" w:after="0" w:line="240" w:lineRule="auto"/>
        <w:outlineLvl w:val="2"/>
        <w:rPr>
          <w:rFonts w:ascii="Arial" w:eastAsia="Arial" w:hAnsi="Arial" w:cs="Arial"/>
          <w:b/>
          <w:bCs/>
          <w:color w:val="1F3864"/>
          <w:w w:val="105"/>
          <w:sz w:val="21"/>
          <w:szCs w:val="21"/>
          <w:lang w:val="en-US"/>
        </w:rPr>
      </w:pPr>
    </w:p>
    <w:p w:rsidR="002D1734" w:rsidRPr="00D514CF" w:rsidRDefault="002D1734" w:rsidP="00CD37A6">
      <w:pPr>
        <w:widowControl w:val="0"/>
        <w:autoSpaceDE w:val="0"/>
        <w:autoSpaceDN w:val="0"/>
        <w:spacing w:before="1" w:after="0" w:line="240" w:lineRule="auto"/>
        <w:outlineLvl w:val="2"/>
        <w:rPr>
          <w:rFonts w:ascii="Arial" w:eastAsia="Arial" w:hAnsi="Arial" w:cs="Arial"/>
          <w:b/>
          <w:bCs/>
          <w:color w:val="548DD4" w:themeColor="text2" w:themeTint="99"/>
          <w:w w:val="105"/>
          <w:sz w:val="21"/>
          <w:szCs w:val="21"/>
          <w:lang w:val="en-US"/>
        </w:rPr>
      </w:pPr>
      <w:r w:rsidRPr="00D514CF">
        <w:rPr>
          <w:rFonts w:ascii="Arial" w:eastAsia="Arial" w:hAnsi="Arial" w:cs="Arial"/>
          <w:b/>
          <w:bCs/>
          <w:color w:val="548DD4" w:themeColor="text2" w:themeTint="99"/>
          <w:w w:val="105"/>
          <w:sz w:val="21"/>
          <w:szCs w:val="21"/>
          <w:lang w:val="en-US"/>
        </w:rPr>
        <w:t>________________________________________________________________________________</w:t>
      </w:r>
    </w:p>
    <w:sectPr w:rsidR="002D1734" w:rsidRPr="00D514CF" w:rsidSect="000E1494">
      <w:pgSz w:w="11906" w:h="16838"/>
      <w:pgMar w:top="851" w:right="851" w:bottom="1135"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3B" w:rsidRDefault="00D2323B" w:rsidP="00EF438D">
      <w:pPr>
        <w:spacing w:after="0" w:line="240" w:lineRule="auto"/>
      </w:pPr>
      <w:r>
        <w:separator/>
      </w:r>
    </w:p>
  </w:endnote>
  <w:endnote w:type="continuationSeparator" w:id="0">
    <w:p w:rsidR="00D2323B" w:rsidRDefault="00D2323B" w:rsidP="00EF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3B" w:rsidRDefault="00D2323B" w:rsidP="00EF438D">
      <w:pPr>
        <w:spacing w:after="0" w:line="240" w:lineRule="auto"/>
      </w:pPr>
      <w:r>
        <w:separator/>
      </w:r>
    </w:p>
  </w:footnote>
  <w:footnote w:type="continuationSeparator" w:id="0">
    <w:p w:rsidR="00D2323B" w:rsidRDefault="00D2323B" w:rsidP="00EF4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12B"/>
    <w:multiLevelType w:val="hybridMultilevel"/>
    <w:tmpl w:val="8508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232B45"/>
    <w:multiLevelType w:val="hybridMultilevel"/>
    <w:tmpl w:val="4E8224C6"/>
    <w:lvl w:ilvl="0" w:tplc="08090001">
      <w:start w:val="1"/>
      <w:numFmt w:val="bullet"/>
      <w:lvlText w:val=""/>
      <w:lvlJc w:val="left"/>
      <w:pPr>
        <w:ind w:left="2029" w:hanging="360"/>
      </w:pPr>
      <w:rPr>
        <w:rFonts w:ascii="Symbol" w:hAnsi="Symbol"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2">
    <w:nsid w:val="30E8701F"/>
    <w:multiLevelType w:val="hybridMultilevel"/>
    <w:tmpl w:val="3EE6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903B09"/>
    <w:multiLevelType w:val="hybridMultilevel"/>
    <w:tmpl w:val="F42A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2B66AA"/>
    <w:multiLevelType w:val="hybridMultilevel"/>
    <w:tmpl w:val="C008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8414DC"/>
    <w:multiLevelType w:val="hybridMultilevel"/>
    <w:tmpl w:val="01B2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C77530"/>
    <w:multiLevelType w:val="hybridMultilevel"/>
    <w:tmpl w:val="DD06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504474"/>
    <w:multiLevelType w:val="hybridMultilevel"/>
    <w:tmpl w:val="A1A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412EF3"/>
    <w:multiLevelType w:val="hybridMultilevel"/>
    <w:tmpl w:val="BE5E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6388F"/>
    <w:multiLevelType w:val="hybridMultilevel"/>
    <w:tmpl w:val="4540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2E0F91"/>
    <w:multiLevelType w:val="hybridMultilevel"/>
    <w:tmpl w:val="BC7C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0F0B46"/>
    <w:multiLevelType w:val="hybridMultilevel"/>
    <w:tmpl w:val="74E8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1"/>
  </w:num>
  <w:num w:numId="6">
    <w:abstractNumId w:val="9"/>
  </w:num>
  <w:num w:numId="7">
    <w:abstractNumId w:val="5"/>
  </w:num>
  <w:num w:numId="8">
    <w:abstractNumId w:val="0"/>
  </w:num>
  <w:num w:numId="9">
    <w:abstractNumId w:val="1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10"/>
    <w:rsid w:val="00025752"/>
    <w:rsid w:val="000451F4"/>
    <w:rsid w:val="000653F8"/>
    <w:rsid w:val="000C49F1"/>
    <w:rsid w:val="000E1494"/>
    <w:rsid w:val="00163F87"/>
    <w:rsid w:val="00195DC0"/>
    <w:rsid w:val="001D1BA8"/>
    <w:rsid w:val="001F428C"/>
    <w:rsid w:val="00244540"/>
    <w:rsid w:val="002633F5"/>
    <w:rsid w:val="00270462"/>
    <w:rsid w:val="002D1734"/>
    <w:rsid w:val="002E1254"/>
    <w:rsid w:val="003067FC"/>
    <w:rsid w:val="00311B36"/>
    <w:rsid w:val="00333CD0"/>
    <w:rsid w:val="003A4C07"/>
    <w:rsid w:val="003A610C"/>
    <w:rsid w:val="003C3553"/>
    <w:rsid w:val="00421826"/>
    <w:rsid w:val="00465F03"/>
    <w:rsid w:val="00494059"/>
    <w:rsid w:val="004A4782"/>
    <w:rsid w:val="004C5170"/>
    <w:rsid w:val="004E6682"/>
    <w:rsid w:val="00591FCB"/>
    <w:rsid w:val="00617C39"/>
    <w:rsid w:val="006266F7"/>
    <w:rsid w:val="006505E4"/>
    <w:rsid w:val="0068168E"/>
    <w:rsid w:val="00707AB3"/>
    <w:rsid w:val="00760996"/>
    <w:rsid w:val="00761D7A"/>
    <w:rsid w:val="0078629E"/>
    <w:rsid w:val="007A1F8B"/>
    <w:rsid w:val="007B7C35"/>
    <w:rsid w:val="008A238E"/>
    <w:rsid w:val="008D548B"/>
    <w:rsid w:val="009B7E4E"/>
    <w:rsid w:val="009E29F9"/>
    <w:rsid w:val="00A16C82"/>
    <w:rsid w:val="00A32252"/>
    <w:rsid w:val="00AD3330"/>
    <w:rsid w:val="00B634CD"/>
    <w:rsid w:val="00BA7666"/>
    <w:rsid w:val="00BD449C"/>
    <w:rsid w:val="00BE2618"/>
    <w:rsid w:val="00BE47A8"/>
    <w:rsid w:val="00C22FD0"/>
    <w:rsid w:val="00C267AA"/>
    <w:rsid w:val="00C3511D"/>
    <w:rsid w:val="00CB0964"/>
    <w:rsid w:val="00CC744A"/>
    <w:rsid w:val="00CD37A6"/>
    <w:rsid w:val="00D2323B"/>
    <w:rsid w:val="00D514CF"/>
    <w:rsid w:val="00D51D97"/>
    <w:rsid w:val="00D537B3"/>
    <w:rsid w:val="00D9641B"/>
    <w:rsid w:val="00DA4BE0"/>
    <w:rsid w:val="00DF4D41"/>
    <w:rsid w:val="00E41878"/>
    <w:rsid w:val="00E74575"/>
    <w:rsid w:val="00E872A9"/>
    <w:rsid w:val="00ED7A87"/>
    <w:rsid w:val="00EF438D"/>
    <w:rsid w:val="00F33968"/>
    <w:rsid w:val="00F34FD0"/>
    <w:rsid w:val="00F467F3"/>
    <w:rsid w:val="00F7603C"/>
    <w:rsid w:val="00F77FDC"/>
    <w:rsid w:val="00FD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40"/>
  </w:style>
  <w:style w:type="paragraph" w:styleId="Heading1">
    <w:name w:val="heading 1"/>
    <w:basedOn w:val="Normal"/>
    <w:next w:val="Normal"/>
    <w:link w:val="Heading1Char"/>
    <w:uiPriority w:val="9"/>
    <w:qFormat/>
    <w:rsid w:val="004C5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1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A238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C35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3553"/>
    <w:rPr>
      <w:b/>
      <w:bCs/>
      <w:i/>
      <w:iCs/>
      <w:color w:val="4F81BD" w:themeColor="accent1"/>
    </w:rPr>
  </w:style>
  <w:style w:type="paragraph" w:styleId="Quote">
    <w:name w:val="Quote"/>
    <w:basedOn w:val="Normal"/>
    <w:next w:val="Normal"/>
    <w:link w:val="QuoteChar"/>
    <w:uiPriority w:val="29"/>
    <w:qFormat/>
    <w:rsid w:val="003C3553"/>
    <w:rPr>
      <w:i/>
      <w:iCs/>
      <w:color w:val="000000" w:themeColor="text1"/>
    </w:rPr>
  </w:style>
  <w:style w:type="character" w:customStyle="1" w:styleId="QuoteChar">
    <w:name w:val="Quote Char"/>
    <w:basedOn w:val="DefaultParagraphFont"/>
    <w:link w:val="Quote"/>
    <w:uiPriority w:val="29"/>
    <w:rsid w:val="003C3553"/>
    <w:rPr>
      <w:i/>
      <w:iCs/>
      <w:color w:val="000000" w:themeColor="text1"/>
    </w:rPr>
  </w:style>
  <w:style w:type="character" w:customStyle="1" w:styleId="Heading2Char">
    <w:name w:val="Heading 2 Char"/>
    <w:basedOn w:val="DefaultParagraphFont"/>
    <w:link w:val="Heading2"/>
    <w:uiPriority w:val="9"/>
    <w:rsid w:val="003C3553"/>
    <w:rPr>
      <w:rFonts w:asciiTheme="majorHAnsi" w:eastAsiaTheme="majorEastAsia" w:hAnsiTheme="majorHAnsi" w:cstheme="majorBidi"/>
      <w:b/>
      <w:bCs/>
      <w:color w:val="4F81BD" w:themeColor="accent1"/>
      <w:sz w:val="26"/>
      <w:szCs w:val="26"/>
    </w:rPr>
  </w:style>
  <w:style w:type="table" w:customStyle="1" w:styleId="TableGrid12">
    <w:name w:val="Table Grid12"/>
    <w:basedOn w:val="TableNormal"/>
    <w:next w:val="TableGrid"/>
    <w:uiPriority w:val="59"/>
    <w:rsid w:val="00F34F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FD0"/>
    <w:pPr>
      <w:spacing w:after="0" w:line="240" w:lineRule="auto"/>
    </w:pPr>
  </w:style>
  <w:style w:type="paragraph" w:styleId="Header">
    <w:name w:val="header"/>
    <w:basedOn w:val="Normal"/>
    <w:link w:val="HeaderChar"/>
    <w:uiPriority w:val="99"/>
    <w:unhideWhenUsed/>
    <w:rsid w:val="00EF4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38D"/>
  </w:style>
  <w:style w:type="paragraph" w:styleId="Footer">
    <w:name w:val="footer"/>
    <w:basedOn w:val="Normal"/>
    <w:link w:val="FooterChar"/>
    <w:uiPriority w:val="99"/>
    <w:unhideWhenUsed/>
    <w:rsid w:val="00E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38D"/>
  </w:style>
  <w:style w:type="paragraph" w:styleId="ListParagraph">
    <w:name w:val="List Paragraph"/>
    <w:basedOn w:val="Normal"/>
    <w:uiPriority w:val="34"/>
    <w:qFormat/>
    <w:rsid w:val="004C5170"/>
    <w:pPr>
      <w:ind w:left="720"/>
      <w:contextualSpacing/>
    </w:pPr>
  </w:style>
  <w:style w:type="character" w:customStyle="1" w:styleId="Heading1Char">
    <w:name w:val="Heading 1 Char"/>
    <w:basedOn w:val="DefaultParagraphFont"/>
    <w:link w:val="Heading1"/>
    <w:uiPriority w:val="9"/>
    <w:rsid w:val="004C517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505E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D449C"/>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D449C"/>
    <w:rPr>
      <w:rFonts w:ascii="Arial" w:eastAsia="Arial" w:hAnsi="Arial" w:cs="Arial"/>
      <w:sz w:val="21"/>
      <w:szCs w:val="21"/>
      <w:lang w:val="en-US"/>
    </w:rPr>
  </w:style>
  <w:style w:type="table" w:customStyle="1" w:styleId="TableGrid2">
    <w:name w:val="Table Grid2"/>
    <w:basedOn w:val="TableNormal"/>
    <w:next w:val="TableGrid"/>
    <w:uiPriority w:val="59"/>
    <w:rsid w:val="001F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7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40"/>
  </w:style>
  <w:style w:type="paragraph" w:styleId="Heading1">
    <w:name w:val="heading 1"/>
    <w:basedOn w:val="Normal"/>
    <w:next w:val="Normal"/>
    <w:link w:val="Heading1Char"/>
    <w:uiPriority w:val="9"/>
    <w:qFormat/>
    <w:rsid w:val="004C5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1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A238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C35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3553"/>
    <w:rPr>
      <w:b/>
      <w:bCs/>
      <w:i/>
      <w:iCs/>
      <w:color w:val="4F81BD" w:themeColor="accent1"/>
    </w:rPr>
  </w:style>
  <w:style w:type="paragraph" w:styleId="Quote">
    <w:name w:val="Quote"/>
    <w:basedOn w:val="Normal"/>
    <w:next w:val="Normal"/>
    <w:link w:val="QuoteChar"/>
    <w:uiPriority w:val="29"/>
    <w:qFormat/>
    <w:rsid w:val="003C3553"/>
    <w:rPr>
      <w:i/>
      <w:iCs/>
      <w:color w:val="000000" w:themeColor="text1"/>
    </w:rPr>
  </w:style>
  <w:style w:type="character" w:customStyle="1" w:styleId="QuoteChar">
    <w:name w:val="Quote Char"/>
    <w:basedOn w:val="DefaultParagraphFont"/>
    <w:link w:val="Quote"/>
    <w:uiPriority w:val="29"/>
    <w:rsid w:val="003C3553"/>
    <w:rPr>
      <w:i/>
      <w:iCs/>
      <w:color w:val="000000" w:themeColor="text1"/>
    </w:rPr>
  </w:style>
  <w:style w:type="character" w:customStyle="1" w:styleId="Heading2Char">
    <w:name w:val="Heading 2 Char"/>
    <w:basedOn w:val="DefaultParagraphFont"/>
    <w:link w:val="Heading2"/>
    <w:uiPriority w:val="9"/>
    <w:rsid w:val="003C3553"/>
    <w:rPr>
      <w:rFonts w:asciiTheme="majorHAnsi" w:eastAsiaTheme="majorEastAsia" w:hAnsiTheme="majorHAnsi" w:cstheme="majorBidi"/>
      <w:b/>
      <w:bCs/>
      <w:color w:val="4F81BD" w:themeColor="accent1"/>
      <w:sz w:val="26"/>
      <w:szCs w:val="26"/>
    </w:rPr>
  </w:style>
  <w:style w:type="table" w:customStyle="1" w:styleId="TableGrid12">
    <w:name w:val="Table Grid12"/>
    <w:basedOn w:val="TableNormal"/>
    <w:next w:val="TableGrid"/>
    <w:uiPriority w:val="59"/>
    <w:rsid w:val="00F34F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FD0"/>
    <w:pPr>
      <w:spacing w:after="0" w:line="240" w:lineRule="auto"/>
    </w:pPr>
  </w:style>
  <w:style w:type="paragraph" w:styleId="Header">
    <w:name w:val="header"/>
    <w:basedOn w:val="Normal"/>
    <w:link w:val="HeaderChar"/>
    <w:uiPriority w:val="99"/>
    <w:unhideWhenUsed/>
    <w:rsid w:val="00EF4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38D"/>
  </w:style>
  <w:style w:type="paragraph" w:styleId="Footer">
    <w:name w:val="footer"/>
    <w:basedOn w:val="Normal"/>
    <w:link w:val="FooterChar"/>
    <w:uiPriority w:val="99"/>
    <w:unhideWhenUsed/>
    <w:rsid w:val="00E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38D"/>
  </w:style>
  <w:style w:type="paragraph" w:styleId="ListParagraph">
    <w:name w:val="List Paragraph"/>
    <w:basedOn w:val="Normal"/>
    <w:uiPriority w:val="34"/>
    <w:qFormat/>
    <w:rsid w:val="004C5170"/>
    <w:pPr>
      <w:ind w:left="720"/>
      <w:contextualSpacing/>
    </w:pPr>
  </w:style>
  <w:style w:type="character" w:customStyle="1" w:styleId="Heading1Char">
    <w:name w:val="Heading 1 Char"/>
    <w:basedOn w:val="DefaultParagraphFont"/>
    <w:link w:val="Heading1"/>
    <w:uiPriority w:val="9"/>
    <w:rsid w:val="004C517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505E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D449C"/>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D449C"/>
    <w:rPr>
      <w:rFonts w:ascii="Arial" w:eastAsia="Arial" w:hAnsi="Arial" w:cs="Arial"/>
      <w:sz w:val="21"/>
      <w:szCs w:val="21"/>
      <w:lang w:val="en-US"/>
    </w:rPr>
  </w:style>
  <w:style w:type="table" w:customStyle="1" w:styleId="TableGrid2">
    <w:name w:val="Table Grid2"/>
    <w:basedOn w:val="TableNormal"/>
    <w:next w:val="TableGrid"/>
    <w:uiPriority w:val="59"/>
    <w:rsid w:val="001F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7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3775-D3FB-498B-BD1C-D8AE592C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2</cp:revision>
  <cp:lastPrinted>2019-11-07T11:31:00Z</cp:lastPrinted>
  <dcterms:created xsi:type="dcterms:W3CDTF">2019-11-07T11:45:00Z</dcterms:created>
  <dcterms:modified xsi:type="dcterms:W3CDTF">2019-11-07T11:45:00Z</dcterms:modified>
</cp:coreProperties>
</file>