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E5B" w:rsidRPr="008517EC" w:rsidRDefault="00C15524">
      <w:pPr>
        <w:rPr>
          <w:rFonts w:ascii="Arial" w:hAnsi="Arial" w:cs="Arial"/>
          <w:color w:val="E36C0A" w:themeColor="accent6" w:themeShade="BF"/>
          <w:sz w:val="40"/>
          <w:szCs w:val="40"/>
        </w:rPr>
      </w:pPr>
      <w:r w:rsidRPr="008517EC">
        <w:rPr>
          <w:rFonts w:ascii="Arial" w:hAnsi="Arial" w:cs="Arial"/>
          <w:color w:val="E36C0A" w:themeColor="accent6" w:themeShade="BF"/>
          <w:sz w:val="40"/>
          <w:szCs w:val="40"/>
        </w:rPr>
        <w:t xml:space="preserve">Pupil Premium </w:t>
      </w:r>
      <w:r w:rsidR="007D5755" w:rsidRPr="008517EC">
        <w:rPr>
          <w:rFonts w:ascii="Arial" w:hAnsi="Arial" w:cs="Arial"/>
          <w:color w:val="E36C0A" w:themeColor="accent6" w:themeShade="BF"/>
          <w:sz w:val="40"/>
          <w:szCs w:val="40"/>
        </w:rPr>
        <w:t xml:space="preserve">Plan </w:t>
      </w:r>
      <w:r w:rsidR="00413656">
        <w:rPr>
          <w:rFonts w:ascii="Arial" w:hAnsi="Arial" w:cs="Arial"/>
          <w:color w:val="E36C0A" w:themeColor="accent6" w:themeShade="BF"/>
          <w:sz w:val="40"/>
          <w:szCs w:val="40"/>
        </w:rPr>
        <w:t xml:space="preserve">EVALUATION </w:t>
      </w:r>
      <w:r w:rsidR="00BD0E7A">
        <w:rPr>
          <w:rFonts w:ascii="Arial" w:hAnsi="Arial" w:cs="Arial"/>
          <w:color w:val="E36C0A" w:themeColor="accent6" w:themeShade="BF"/>
          <w:sz w:val="40"/>
          <w:szCs w:val="40"/>
        </w:rPr>
        <w:t>2021/22</w:t>
      </w:r>
    </w:p>
    <w:p w:rsidR="00C15524" w:rsidRPr="008517EC" w:rsidRDefault="00C15524" w:rsidP="00C15524">
      <w:pPr>
        <w:pStyle w:val="NoSpacing"/>
        <w:rPr>
          <w:rFonts w:ascii="Arial" w:hAnsi="Arial" w:cs="Arial"/>
        </w:rPr>
      </w:pPr>
      <w:r w:rsidRPr="008517EC">
        <w:rPr>
          <w:rFonts w:ascii="Arial" w:hAnsi="Arial" w:cs="Arial"/>
        </w:rPr>
        <w:t>Pupil Premium Grant (PPG) provides funding for two policies within schools:</w:t>
      </w:r>
    </w:p>
    <w:p w:rsidR="00C15524" w:rsidRPr="008517EC" w:rsidRDefault="00C15524" w:rsidP="00C15524">
      <w:pPr>
        <w:pStyle w:val="NoSpacing"/>
        <w:rPr>
          <w:rFonts w:ascii="Arial" w:hAnsi="Arial" w:cs="Arial"/>
        </w:rPr>
      </w:pPr>
    </w:p>
    <w:p w:rsidR="00C15524" w:rsidRPr="008517EC" w:rsidRDefault="00C15524" w:rsidP="00C15524">
      <w:pPr>
        <w:pStyle w:val="NoSpacing"/>
        <w:rPr>
          <w:rFonts w:ascii="Arial" w:hAnsi="Arial" w:cs="Arial"/>
        </w:rPr>
      </w:pPr>
      <w:r w:rsidRPr="008517EC">
        <w:rPr>
          <w:rFonts w:ascii="Arial" w:hAnsi="Arial" w:cs="Arial"/>
        </w:rPr>
        <w:t>•</w:t>
      </w:r>
      <w:r w:rsidRPr="008517EC">
        <w:rPr>
          <w:rFonts w:ascii="Arial" w:hAnsi="Arial" w:cs="Arial"/>
        </w:rPr>
        <w:tab/>
        <w:t>raising the attainment of disadvantaged pupils of all abilities to reach their potential</w:t>
      </w:r>
    </w:p>
    <w:p w:rsidR="00C15524" w:rsidRPr="008517EC" w:rsidRDefault="00C15524" w:rsidP="00C15524">
      <w:pPr>
        <w:pStyle w:val="NoSpacing"/>
        <w:rPr>
          <w:rFonts w:ascii="Arial" w:hAnsi="Arial" w:cs="Arial"/>
        </w:rPr>
      </w:pPr>
      <w:r w:rsidRPr="008517EC">
        <w:rPr>
          <w:rFonts w:ascii="Arial" w:hAnsi="Arial" w:cs="Arial"/>
        </w:rPr>
        <w:t>•</w:t>
      </w:r>
      <w:r w:rsidRPr="008517EC">
        <w:rPr>
          <w:rFonts w:ascii="Arial" w:hAnsi="Arial" w:cs="Arial"/>
        </w:rPr>
        <w:tab/>
        <w:t>supporting children and young people with parents in the regular armed forces</w:t>
      </w:r>
    </w:p>
    <w:p w:rsidR="00C15524" w:rsidRPr="008517EC" w:rsidRDefault="00C15524" w:rsidP="00C15524">
      <w:pPr>
        <w:pStyle w:val="NoSpacing"/>
        <w:rPr>
          <w:rFonts w:ascii="Arial" w:hAnsi="Arial" w:cs="Arial"/>
        </w:rPr>
      </w:pPr>
    </w:p>
    <w:p w:rsidR="00C15524" w:rsidRPr="008517EC" w:rsidRDefault="00C15524" w:rsidP="00C15524">
      <w:pPr>
        <w:pStyle w:val="NoSpacing"/>
        <w:rPr>
          <w:rFonts w:ascii="Arial" w:hAnsi="Arial" w:cs="Arial"/>
        </w:rPr>
      </w:pPr>
      <w:r w:rsidRPr="008517EC">
        <w:rPr>
          <w:rFonts w:ascii="Arial" w:hAnsi="Arial" w:cs="Arial"/>
        </w:rPr>
        <w:t>Currently Ashley High has no students in the second category.</w:t>
      </w:r>
    </w:p>
    <w:p w:rsidR="00C15524" w:rsidRPr="008517EC" w:rsidRDefault="00C15524" w:rsidP="00C15524">
      <w:pPr>
        <w:rPr>
          <w:rFonts w:ascii="Arial" w:hAnsi="Arial" w:cs="Arial"/>
        </w:rPr>
      </w:pPr>
    </w:p>
    <w:p w:rsidR="00C15524" w:rsidRPr="008517EC" w:rsidRDefault="00C15524" w:rsidP="00C15524">
      <w:pPr>
        <w:shd w:val="clear" w:color="auto" w:fill="FFFFFF"/>
        <w:spacing w:after="0" w:line="240" w:lineRule="auto"/>
        <w:textAlignment w:val="baseline"/>
        <w:outlineLvl w:val="1"/>
        <w:rPr>
          <w:rFonts w:ascii="Arial" w:eastAsia="Times New Roman" w:hAnsi="Arial" w:cs="Arial"/>
          <w:bCs/>
          <w:color w:val="E36C0A" w:themeColor="accent6" w:themeShade="BF"/>
          <w:sz w:val="40"/>
          <w:szCs w:val="40"/>
          <w:lang w:eastAsia="en-GB"/>
        </w:rPr>
      </w:pPr>
      <w:r w:rsidRPr="008517EC">
        <w:rPr>
          <w:rFonts w:ascii="Arial" w:eastAsia="Times New Roman" w:hAnsi="Arial" w:cs="Arial"/>
          <w:bCs/>
          <w:color w:val="E36C0A" w:themeColor="accent6" w:themeShade="BF"/>
          <w:sz w:val="40"/>
          <w:szCs w:val="40"/>
          <w:lang w:eastAsia="en-GB"/>
        </w:rPr>
        <w:t>Rates for eligible pupils</w:t>
      </w:r>
    </w:p>
    <w:tbl>
      <w:tblPr>
        <w:tblW w:w="13958" w:type="dxa"/>
        <w:tblCellMar>
          <w:left w:w="0" w:type="dxa"/>
          <w:right w:w="0" w:type="dxa"/>
        </w:tblCellMar>
        <w:tblLook w:val="04A0" w:firstRow="1" w:lastRow="0" w:firstColumn="1" w:lastColumn="0" w:noHBand="0" w:noVBand="1"/>
      </w:tblPr>
      <w:tblGrid>
        <w:gridCol w:w="11690"/>
        <w:gridCol w:w="2268"/>
      </w:tblGrid>
      <w:tr w:rsidR="00C15524" w:rsidRPr="008517EC" w:rsidTr="00C15524">
        <w:trPr>
          <w:tblHeader/>
        </w:trPr>
        <w:tc>
          <w:tcPr>
            <w:tcW w:w="11690" w:type="dxa"/>
            <w:tcBorders>
              <w:top w:val="nil"/>
              <w:left w:val="nil"/>
              <w:bottom w:val="single" w:sz="6" w:space="0" w:color="BFC1C3"/>
              <w:right w:val="nil"/>
            </w:tcBorders>
            <w:tcMar>
              <w:top w:w="150" w:type="dxa"/>
              <w:left w:w="0" w:type="dxa"/>
              <w:bottom w:w="150" w:type="dxa"/>
              <w:right w:w="150" w:type="dxa"/>
            </w:tcMar>
            <w:hideMark/>
          </w:tcPr>
          <w:p w:rsidR="00C15524" w:rsidRPr="008517EC" w:rsidRDefault="00C15524" w:rsidP="00062FD5">
            <w:pPr>
              <w:spacing w:after="0" w:line="240" w:lineRule="auto"/>
              <w:rPr>
                <w:rFonts w:ascii="Arial" w:eastAsia="Times New Roman" w:hAnsi="Arial" w:cs="Arial"/>
                <w:b/>
                <w:bCs/>
                <w:color w:val="0B0C0C"/>
                <w:sz w:val="21"/>
                <w:szCs w:val="21"/>
                <w:lang w:eastAsia="en-GB"/>
              </w:rPr>
            </w:pPr>
            <w:r w:rsidRPr="008517EC">
              <w:rPr>
                <w:rFonts w:ascii="Arial" w:eastAsia="Times New Roman" w:hAnsi="Arial" w:cs="Arial"/>
                <w:b/>
                <w:bCs/>
                <w:color w:val="0B0C0C"/>
                <w:sz w:val="21"/>
                <w:szCs w:val="21"/>
                <w:lang w:eastAsia="en-GB"/>
              </w:rPr>
              <w:t>Disadvantaged pupils</w:t>
            </w:r>
          </w:p>
        </w:tc>
        <w:tc>
          <w:tcPr>
            <w:tcW w:w="2268" w:type="dxa"/>
            <w:tcBorders>
              <w:top w:val="nil"/>
              <w:left w:val="nil"/>
              <w:bottom w:val="single" w:sz="6" w:space="0" w:color="BFC1C3"/>
              <w:right w:val="nil"/>
            </w:tcBorders>
            <w:tcMar>
              <w:top w:w="150" w:type="dxa"/>
              <w:left w:w="0" w:type="dxa"/>
              <w:bottom w:w="150" w:type="dxa"/>
              <w:right w:w="150" w:type="dxa"/>
            </w:tcMar>
            <w:hideMark/>
          </w:tcPr>
          <w:p w:rsidR="00C15524" w:rsidRPr="008517EC" w:rsidRDefault="00C15524" w:rsidP="00062FD5">
            <w:pPr>
              <w:spacing w:after="0" w:line="240" w:lineRule="auto"/>
              <w:rPr>
                <w:rFonts w:ascii="Arial" w:eastAsia="Times New Roman" w:hAnsi="Arial" w:cs="Arial"/>
                <w:b/>
                <w:bCs/>
                <w:color w:val="0B0C0C"/>
                <w:sz w:val="21"/>
                <w:szCs w:val="21"/>
                <w:lang w:eastAsia="en-GB"/>
              </w:rPr>
            </w:pPr>
            <w:r w:rsidRPr="008517EC">
              <w:rPr>
                <w:rFonts w:ascii="Arial" w:eastAsia="Times New Roman" w:hAnsi="Arial" w:cs="Arial"/>
                <w:b/>
                <w:bCs/>
                <w:color w:val="0B0C0C"/>
                <w:sz w:val="21"/>
                <w:szCs w:val="21"/>
                <w:lang w:eastAsia="en-GB"/>
              </w:rPr>
              <w:t>Pupil premium per pupil</w:t>
            </w:r>
          </w:p>
        </w:tc>
      </w:tr>
      <w:tr w:rsidR="00C15524" w:rsidRPr="008517EC" w:rsidTr="00C15524">
        <w:tc>
          <w:tcPr>
            <w:tcW w:w="11690" w:type="dxa"/>
            <w:tcBorders>
              <w:top w:val="nil"/>
              <w:left w:val="nil"/>
              <w:bottom w:val="single" w:sz="6" w:space="0" w:color="BFC1C3"/>
              <w:right w:val="nil"/>
            </w:tcBorders>
            <w:tcMar>
              <w:top w:w="150" w:type="dxa"/>
              <w:left w:w="0" w:type="dxa"/>
              <w:bottom w:w="150" w:type="dxa"/>
              <w:right w:w="150" w:type="dxa"/>
            </w:tcMar>
          </w:tcPr>
          <w:p w:rsidR="00C15524" w:rsidRPr="008517EC" w:rsidRDefault="00C15524" w:rsidP="00883F37">
            <w:pPr>
              <w:spacing w:after="0" w:line="240" w:lineRule="auto"/>
              <w:rPr>
                <w:rFonts w:ascii="Arial" w:eastAsia="Times New Roman" w:hAnsi="Arial" w:cs="Arial"/>
                <w:sz w:val="21"/>
                <w:szCs w:val="21"/>
                <w:lang w:eastAsia="en-GB"/>
              </w:rPr>
            </w:pPr>
            <w:r w:rsidRPr="008517EC">
              <w:rPr>
                <w:rFonts w:ascii="Arial" w:eastAsia="Times New Roman" w:hAnsi="Arial" w:cs="Arial"/>
                <w:sz w:val="21"/>
                <w:szCs w:val="21"/>
                <w:lang w:eastAsia="en-GB"/>
              </w:rPr>
              <w:t xml:space="preserve">Pupils in years 7 to 11 recorded as Ever 6 </w:t>
            </w:r>
            <w:r w:rsidR="00C5249B" w:rsidRPr="008517EC">
              <w:rPr>
                <w:rFonts w:ascii="Arial" w:eastAsia="Times New Roman" w:hAnsi="Arial" w:cs="Arial"/>
                <w:sz w:val="21"/>
                <w:szCs w:val="21"/>
                <w:lang w:eastAsia="en-GB"/>
              </w:rPr>
              <w:t xml:space="preserve">or </w:t>
            </w:r>
            <w:r w:rsidRPr="008517EC">
              <w:rPr>
                <w:rFonts w:ascii="Arial" w:eastAsia="Times New Roman" w:hAnsi="Arial" w:cs="Arial"/>
                <w:sz w:val="21"/>
                <w:szCs w:val="21"/>
                <w:lang w:eastAsia="en-GB"/>
              </w:rPr>
              <w:t>FSM</w:t>
            </w:r>
            <w:r w:rsidR="00C5249B" w:rsidRPr="008517EC">
              <w:rPr>
                <w:rFonts w:ascii="Arial" w:eastAsia="Times New Roman" w:hAnsi="Arial" w:cs="Arial"/>
                <w:sz w:val="21"/>
                <w:szCs w:val="21"/>
                <w:lang w:eastAsia="en-GB"/>
              </w:rPr>
              <w:t xml:space="preserve"> (free school meals)</w:t>
            </w:r>
          </w:p>
        </w:tc>
        <w:tc>
          <w:tcPr>
            <w:tcW w:w="2268" w:type="dxa"/>
            <w:tcBorders>
              <w:top w:val="nil"/>
              <w:left w:val="nil"/>
              <w:bottom w:val="single" w:sz="6" w:space="0" w:color="BFC1C3"/>
              <w:right w:val="nil"/>
            </w:tcBorders>
            <w:tcMar>
              <w:top w:w="150" w:type="dxa"/>
              <w:left w:w="0" w:type="dxa"/>
              <w:bottom w:w="150" w:type="dxa"/>
              <w:right w:w="150" w:type="dxa"/>
            </w:tcMar>
          </w:tcPr>
          <w:p w:rsidR="00C15524" w:rsidRPr="008517EC" w:rsidRDefault="00BD0E7A" w:rsidP="00883F37">
            <w:pPr>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£955</w:t>
            </w:r>
          </w:p>
        </w:tc>
      </w:tr>
      <w:tr w:rsidR="00C15524" w:rsidRPr="008517EC" w:rsidTr="00C15524">
        <w:tc>
          <w:tcPr>
            <w:tcW w:w="11690" w:type="dxa"/>
            <w:tcBorders>
              <w:top w:val="nil"/>
              <w:left w:val="nil"/>
              <w:bottom w:val="single" w:sz="6" w:space="0" w:color="BFC1C3"/>
              <w:right w:val="nil"/>
            </w:tcBorders>
            <w:tcMar>
              <w:top w:w="150" w:type="dxa"/>
              <w:left w:w="0" w:type="dxa"/>
              <w:bottom w:w="150" w:type="dxa"/>
              <w:right w:w="150" w:type="dxa"/>
            </w:tcMar>
          </w:tcPr>
          <w:p w:rsidR="00C15524" w:rsidRPr="008517EC" w:rsidRDefault="00C15524" w:rsidP="00DD49F7">
            <w:pPr>
              <w:spacing w:after="0" w:line="240" w:lineRule="auto"/>
              <w:rPr>
                <w:rFonts w:ascii="Arial" w:eastAsia="Times New Roman" w:hAnsi="Arial" w:cs="Arial"/>
                <w:sz w:val="21"/>
                <w:szCs w:val="21"/>
                <w:lang w:eastAsia="en-GB"/>
              </w:rPr>
            </w:pPr>
            <w:r w:rsidRPr="008517EC">
              <w:rPr>
                <w:rFonts w:ascii="Arial" w:eastAsia="Times New Roman" w:hAnsi="Arial" w:cs="Arial"/>
                <w:sz w:val="21"/>
                <w:szCs w:val="21"/>
                <w:lang w:eastAsia="en-GB"/>
              </w:rPr>
              <w:t>Looked-after children (LAC) defined in the Children Act 1989 as one who is in the care of, or provided with accommodation by, an English local authority</w:t>
            </w:r>
          </w:p>
        </w:tc>
        <w:tc>
          <w:tcPr>
            <w:tcW w:w="2268" w:type="dxa"/>
            <w:tcBorders>
              <w:top w:val="nil"/>
              <w:left w:val="nil"/>
              <w:bottom w:val="single" w:sz="6" w:space="0" w:color="BFC1C3"/>
              <w:right w:val="nil"/>
            </w:tcBorders>
            <w:tcMar>
              <w:top w:w="150" w:type="dxa"/>
              <w:left w:w="0" w:type="dxa"/>
              <w:bottom w:w="150" w:type="dxa"/>
              <w:right w:w="150" w:type="dxa"/>
            </w:tcMar>
          </w:tcPr>
          <w:p w:rsidR="00C15524" w:rsidRPr="008517EC" w:rsidRDefault="007D5755" w:rsidP="00DD49F7">
            <w:pPr>
              <w:spacing w:after="0" w:line="240" w:lineRule="auto"/>
              <w:rPr>
                <w:rFonts w:ascii="Arial" w:eastAsia="Times New Roman" w:hAnsi="Arial" w:cs="Arial"/>
                <w:sz w:val="21"/>
                <w:szCs w:val="21"/>
                <w:lang w:eastAsia="en-GB"/>
              </w:rPr>
            </w:pPr>
            <w:r w:rsidRPr="008517EC">
              <w:rPr>
                <w:rFonts w:ascii="Arial" w:eastAsia="Times New Roman" w:hAnsi="Arial" w:cs="Arial"/>
                <w:sz w:val="21"/>
                <w:szCs w:val="21"/>
                <w:lang w:eastAsia="en-GB"/>
              </w:rPr>
              <w:t>£2,345</w:t>
            </w:r>
          </w:p>
        </w:tc>
      </w:tr>
      <w:tr w:rsidR="00C15524" w:rsidRPr="008517EC" w:rsidTr="00C15524">
        <w:tc>
          <w:tcPr>
            <w:tcW w:w="11690" w:type="dxa"/>
            <w:tcBorders>
              <w:top w:val="nil"/>
              <w:left w:val="nil"/>
              <w:bottom w:val="single" w:sz="6" w:space="0" w:color="BFC1C3"/>
              <w:right w:val="nil"/>
            </w:tcBorders>
            <w:tcMar>
              <w:top w:w="150" w:type="dxa"/>
              <w:left w:w="0" w:type="dxa"/>
              <w:bottom w:w="150" w:type="dxa"/>
              <w:right w:w="150" w:type="dxa"/>
            </w:tcMar>
          </w:tcPr>
          <w:p w:rsidR="00C15524" w:rsidRPr="008517EC" w:rsidRDefault="00C15524" w:rsidP="00DD49F7">
            <w:pPr>
              <w:spacing w:after="0" w:line="240" w:lineRule="auto"/>
              <w:rPr>
                <w:rFonts w:ascii="Arial" w:eastAsia="Times New Roman" w:hAnsi="Arial" w:cs="Arial"/>
                <w:sz w:val="21"/>
                <w:szCs w:val="21"/>
                <w:lang w:eastAsia="en-GB"/>
              </w:rPr>
            </w:pPr>
            <w:r w:rsidRPr="008517EC">
              <w:rPr>
                <w:rFonts w:ascii="Arial" w:eastAsia="Times New Roman" w:hAnsi="Arial" w:cs="Arial"/>
                <w:sz w:val="21"/>
                <w:szCs w:val="21"/>
                <w:lang w:eastAsia="en-GB"/>
              </w:rPr>
              <w:t>Children who have ceased to be looked after by a local authority in England and Wales because of adoption, a special guardianship order, a child arrangements order or a residence order</w:t>
            </w:r>
          </w:p>
        </w:tc>
        <w:tc>
          <w:tcPr>
            <w:tcW w:w="2268" w:type="dxa"/>
            <w:tcBorders>
              <w:top w:val="nil"/>
              <w:left w:val="nil"/>
              <w:bottom w:val="single" w:sz="6" w:space="0" w:color="BFC1C3"/>
              <w:right w:val="nil"/>
            </w:tcBorders>
            <w:tcMar>
              <w:top w:w="150" w:type="dxa"/>
              <w:left w:w="0" w:type="dxa"/>
              <w:bottom w:w="150" w:type="dxa"/>
              <w:right w:w="150" w:type="dxa"/>
            </w:tcMar>
          </w:tcPr>
          <w:p w:rsidR="00C15524" w:rsidRPr="008517EC" w:rsidRDefault="00BD0E7A" w:rsidP="00DD49F7">
            <w:pPr>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£2,345</w:t>
            </w:r>
          </w:p>
        </w:tc>
      </w:tr>
    </w:tbl>
    <w:p w:rsidR="00C15524" w:rsidRPr="008517EC" w:rsidRDefault="00C15524" w:rsidP="00C15524"/>
    <w:tbl>
      <w:tblPr>
        <w:tblStyle w:val="TableGrid"/>
        <w:tblW w:w="14066" w:type="dxa"/>
        <w:tblInd w:w="108" w:type="dxa"/>
        <w:tblLook w:val="04A0" w:firstRow="1" w:lastRow="0" w:firstColumn="1" w:lastColumn="0" w:noHBand="0" w:noVBand="1"/>
      </w:tblPr>
      <w:tblGrid>
        <w:gridCol w:w="2127"/>
        <w:gridCol w:w="1559"/>
        <w:gridCol w:w="2835"/>
        <w:gridCol w:w="1559"/>
        <w:gridCol w:w="3686"/>
        <w:gridCol w:w="2300"/>
      </w:tblGrid>
      <w:tr w:rsidR="007135EC" w:rsidRPr="008517EC" w:rsidTr="00983A5C">
        <w:tc>
          <w:tcPr>
            <w:tcW w:w="14066" w:type="dxa"/>
            <w:gridSpan w:val="6"/>
            <w:shd w:val="clear" w:color="auto" w:fill="FBD4B4" w:themeFill="accent6" w:themeFillTint="66"/>
          </w:tcPr>
          <w:p w:rsidR="007135EC" w:rsidRPr="008517EC" w:rsidRDefault="007135EC" w:rsidP="009C6D8C">
            <w:pPr>
              <w:rPr>
                <w:rFonts w:cstheme="minorHAnsi"/>
                <w:b/>
                <w:sz w:val="24"/>
                <w:szCs w:val="24"/>
              </w:rPr>
            </w:pPr>
            <w:r w:rsidRPr="008517EC">
              <w:rPr>
                <w:rFonts w:cstheme="minorHAnsi"/>
                <w:b/>
                <w:sz w:val="24"/>
                <w:szCs w:val="24"/>
              </w:rPr>
              <w:t xml:space="preserve"> Summary Information for Ashley High School</w:t>
            </w:r>
          </w:p>
          <w:p w:rsidR="007135EC" w:rsidRPr="008517EC" w:rsidRDefault="007135EC" w:rsidP="00C15524">
            <w:pPr>
              <w:rPr>
                <w:rFonts w:cstheme="minorHAnsi"/>
                <w:b/>
                <w:sz w:val="24"/>
                <w:szCs w:val="24"/>
              </w:rPr>
            </w:pPr>
          </w:p>
        </w:tc>
      </w:tr>
      <w:tr w:rsidR="006E5548" w:rsidRPr="008517EC" w:rsidTr="00D44979">
        <w:tc>
          <w:tcPr>
            <w:tcW w:w="2127" w:type="dxa"/>
          </w:tcPr>
          <w:p w:rsidR="006E5548" w:rsidRPr="008517EC" w:rsidRDefault="006E5548" w:rsidP="00C15524">
            <w:pPr>
              <w:rPr>
                <w:rFonts w:cstheme="minorHAnsi"/>
                <w:b/>
              </w:rPr>
            </w:pPr>
            <w:r w:rsidRPr="008517EC">
              <w:rPr>
                <w:rFonts w:cstheme="minorHAnsi"/>
                <w:b/>
              </w:rPr>
              <w:t>Academic Year</w:t>
            </w:r>
          </w:p>
        </w:tc>
        <w:tc>
          <w:tcPr>
            <w:tcW w:w="1559" w:type="dxa"/>
          </w:tcPr>
          <w:p w:rsidR="006E5548" w:rsidRPr="008517EC" w:rsidRDefault="00BD0E7A" w:rsidP="00C15524">
            <w:pPr>
              <w:rPr>
                <w:rFonts w:cstheme="minorHAnsi"/>
              </w:rPr>
            </w:pPr>
            <w:r>
              <w:rPr>
                <w:rFonts w:cstheme="minorHAnsi"/>
              </w:rPr>
              <w:t>2021-22</w:t>
            </w:r>
          </w:p>
          <w:p w:rsidR="006E5548" w:rsidRPr="008517EC" w:rsidRDefault="006E5548" w:rsidP="00C15524">
            <w:pPr>
              <w:rPr>
                <w:rFonts w:cstheme="minorHAnsi"/>
              </w:rPr>
            </w:pPr>
          </w:p>
        </w:tc>
        <w:tc>
          <w:tcPr>
            <w:tcW w:w="2835" w:type="dxa"/>
          </w:tcPr>
          <w:p w:rsidR="006E5548" w:rsidRPr="008517EC" w:rsidRDefault="006E5548" w:rsidP="00C15524">
            <w:pPr>
              <w:rPr>
                <w:rFonts w:cstheme="minorHAnsi"/>
                <w:b/>
              </w:rPr>
            </w:pPr>
            <w:r w:rsidRPr="008517EC">
              <w:rPr>
                <w:rFonts w:cstheme="minorHAnsi"/>
                <w:b/>
              </w:rPr>
              <w:t>Total PPG budget (</w:t>
            </w:r>
            <w:proofErr w:type="spellStart"/>
            <w:r w:rsidRPr="008517EC">
              <w:rPr>
                <w:rFonts w:cstheme="minorHAnsi"/>
                <w:b/>
              </w:rPr>
              <w:t>inc</w:t>
            </w:r>
            <w:proofErr w:type="spellEnd"/>
            <w:r w:rsidRPr="008517EC">
              <w:rPr>
                <w:rFonts w:cstheme="minorHAnsi"/>
                <w:b/>
              </w:rPr>
              <w:t xml:space="preserve"> PP+ funding)</w:t>
            </w:r>
          </w:p>
        </w:tc>
        <w:tc>
          <w:tcPr>
            <w:tcW w:w="1559" w:type="dxa"/>
          </w:tcPr>
          <w:p w:rsidR="006E5548" w:rsidRPr="003342FC" w:rsidRDefault="00897F67" w:rsidP="00C15524">
            <w:pPr>
              <w:rPr>
                <w:rFonts w:cstheme="minorHAnsi"/>
              </w:rPr>
            </w:pPr>
            <w:r>
              <w:rPr>
                <w:rFonts w:cstheme="minorHAnsi"/>
              </w:rPr>
              <w:t>£50,755</w:t>
            </w:r>
          </w:p>
          <w:p w:rsidR="006E5548" w:rsidRPr="00BD0E7A" w:rsidRDefault="006E5548" w:rsidP="0087767B">
            <w:pPr>
              <w:rPr>
                <w:rFonts w:cstheme="minorHAnsi"/>
                <w:highlight w:val="yellow"/>
              </w:rPr>
            </w:pPr>
          </w:p>
        </w:tc>
        <w:tc>
          <w:tcPr>
            <w:tcW w:w="3686" w:type="dxa"/>
          </w:tcPr>
          <w:p w:rsidR="006E5548" w:rsidRPr="008517EC" w:rsidRDefault="006E5548" w:rsidP="00C15524">
            <w:pPr>
              <w:rPr>
                <w:rFonts w:cstheme="minorHAnsi"/>
                <w:b/>
              </w:rPr>
            </w:pPr>
            <w:r w:rsidRPr="008517EC">
              <w:rPr>
                <w:rFonts w:cstheme="minorHAnsi"/>
                <w:b/>
              </w:rPr>
              <w:t>Total P</w:t>
            </w:r>
            <w:r w:rsidR="00305639" w:rsidRPr="008517EC">
              <w:rPr>
                <w:rFonts w:cstheme="minorHAnsi"/>
                <w:b/>
              </w:rPr>
              <w:t>PG budget (not including PP+</w:t>
            </w:r>
            <w:r w:rsidRPr="008517EC">
              <w:rPr>
                <w:rFonts w:cstheme="minorHAnsi"/>
                <w:b/>
              </w:rPr>
              <w:t xml:space="preserve"> funding)</w:t>
            </w:r>
          </w:p>
        </w:tc>
        <w:tc>
          <w:tcPr>
            <w:tcW w:w="2300" w:type="dxa"/>
          </w:tcPr>
          <w:p w:rsidR="006E5548" w:rsidRPr="008517EC" w:rsidRDefault="00851C04" w:rsidP="00C15524">
            <w:pPr>
              <w:rPr>
                <w:rFonts w:cstheme="minorHAnsi"/>
              </w:rPr>
            </w:pPr>
            <w:r w:rsidRPr="00851C04">
              <w:rPr>
                <w:rFonts w:cstheme="minorHAnsi"/>
              </w:rPr>
              <w:t>£48,100</w:t>
            </w:r>
          </w:p>
        </w:tc>
      </w:tr>
      <w:tr w:rsidR="006E5548" w:rsidRPr="008517EC" w:rsidTr="00D44979">
        <w:tc>
          <w:tcPr>
            <w:tcW w:w="2127" w:type="dxa"/>
          </w:tcPr>
          <w:p w:rsidR="006E5548" w:rsidRPr="008517EC" w:rsidRDefault="006E5548" w:rsidP="00C15524">
            <w:pPr>
              <w:rPr>
                <w:rFonts w:cstheme="minorHAnsi"/>
                <w:b/>
              </w:rPr>
            </w:pPr>
            <w:r w:rsidRPr="008517EC">
              <w:rPr>
                <w:rFonts w:cstheme="minorHAnsi"/>
                <w:b/>
              </w:rPr>
              <w:t>Total number of pupils (Y7-11)</w:t>
            </w:r>
          </w:p>
        </w:tc>
        <w:tc>
          <w:tcPr>
            <w:tcW w:w="1559" w:type="dxa"/>
          </w:tcPr>
          <w:p w:rsidR="006E5548" w:rsidRPr="003342FC" w:rsidRDefault="003342FC" w:rsidP="00A31A6F">
            <w:pPr>
              <w:rPr>
                <w:rFonts w:cstheme="minorHAnsi"/>
              </w:rPr>
            </w:pPr>
            <w:r>
              <w:rPr>
                <w:rFonts w:cstheme="minorHAnsi"/>
              </w:rPr>
              <w:t>9</w:t>
            </w:r>
            <w:r w:rsidR="007D5755" w:rsidRPr="003342FC">
              <w:rPr>
                <w:rFonts w:cstheme="minorHAnsi"/>
              </w:rPr>
              <w:t>3</w:t>
            </w:r>
          </w:p>
          <w:p w:rsidR="006E5548" w:rsidRPr="00BD0E7A" w:rsidRDefault="006E5548" w:rsidP="00C15524">
            <w:pPr>
              <w:ind w:firstLine="720"/>
              <w:rPr>
                <w:rFonts w:cstheme="minorHAnsi"/>
                <w:highlight w:val="yellow"/>
              </w:rPr>
            </w:pPr>
          </w:p>
        </w:tc>
        <w:tc>
          <w:tcPr>
            <w:tcW w:w="2835" w:type="dxa"/>
          </w:tcPr>
          <w:p w:rsidR="006E5548" w:rsidRPr="008517EC" w:rsidRDefault="006E5548" w:rsidP="003323FB">
            <w:pPr>
              <w:rPr>
                <w:rFonts w:cstheme="minorHAnsi"/>
                <w:b/>
              </w:rPr>
            </w:pPr>
            <w:r w:rsidRPr="008517EC">
              <w:rPr>
                <w:rFonts w:cstheme="minorHAnsi"/>
                <w:b/>
              </w:rPr>
              <w:t>% of pupils eligible</w:t>
            </w:r>
          </w:p>
          <w:p w:rsidR="006E5548" w:rsidRPr="008517EC" w:rsidRDefault="006E5548" w:rsidP="003323FB">
            <w:pPr>
              <w:rPr>
                <w:rFonts w:cstheme="minorHAnsi"/>
                <w:b/>
              </w:rPr>
            </w:pPr>
            <w:r w:rsidRPr="008517EC">
              <w:rPr>
                <w:rFonts w:cstheme="minorHAnsi"/>
                <w:b/>
              </w:rPr>
              <w:t>(including LAC/ Post LAC)</w:t>
            </w:r>
          </w:p>
        </w:tc>
        <w:tc>
          <w:tcPr>
            <w:tcW w:w="1559" w:type="dxa"/>
          </w:tcPr>
          <w:p w:rsidR="006E5548" w:rsidRPr="008517EC" w:rsidRDefault="00851C04" w:rsidP="003323FB">
            <w:pPr>
              <w:rPr>
                <w:rFonts w:cstheme="minorHAnsi"/>
              </w:rPr>
            </w:pPr>
            <w:r>
              <w:rPr>
                <w:rFonts w:cstheme="minorHAnsi"/>
              </w:rPr>
              <w:t>49</w:t>
            </w:r>
            <w:r w:rsidR="006E5548" w:rsidRPr="003342FC">
              <w:rPr>
                <w:rFonts w:cstheme="minorHAnsi"/>
              </w:rPr>
              <w:t>%</w:t>
            </w:r>
          </w:p>
        </w:tc>
        <w:tc>
          <w:tcPr>
            <w:tcW w:w="3686" w:type="dxa"/>
          </w:tcPr>
          <w:p w:rsidR="006E5548" w:rsidRPr="008517EC" w:rsidRDefault="006E5548" w:rsidP="00405010">
            <w:pPr>
              <w:rPr>
                <w:rFonts w:cstheme="minorHAnsi"/>
                <w:b/>
              </w:rPr>
            </w:pPr>
            <w:r w:rsidRPr="008517EC">
              <w:rPr>
                <w:rFonts w:cstheme="minorHAnsi"/>
                <w:b/>
              </w:rPr>
              <w:t>Date of most recent PP review</w:t>
            </w:r>
          </w:p>
        </w:tc>
        <w:tc>
          <w:tcPr>
            <w:tcW w:w="2300" w:type="dxa"/>
          </w:tcPr>
          <w:p w:rsidR="006E5548" w:rsidRPr="008517EC" w:rsidRDefault="000314E6" w:rsidP="00405010">
            <w:pPr>
              <w:rPr>
                <w:rFonts w:cstheme="minorHAnsi"/>
              </w:rPr>
            </w:pPr>
            <w:r>
              <w:rPr>
                <w:rFonts w:cstheme="minorHAnsi"/>
              </w:rPr>
              <w:t>Oct 2022</w:t>
            </w:r>
          </w:p>
        </w:tc>
      </w:tr>
      <w:tr w:rsidR="006E5548" w:rsidRPr="008517EC" w:rsidTr="00D44979">
        <w:tc>
          <w:tcPr>
            <w:tcW w:w="2127" w:type="dxa"/>
          </w:tcPr>
          <w:p w:rsidR="006E5548" w:rsidRPr="008517EC" w:rsidRDefault="006E5548" w:rsidP="00162EB6">
            <w:pPr>
              <w:rPr>
                <w:rFonts w:cstheme="minorHAnsi"/>
                <w:b/>
              </w:rPr>
            </w:pPr>
            <w:r w:rsidRPr="008517EC">
              <w:rPr>
                <w:rFonts w:cstheme="minorHAnsi"/>
                <w:b/>
              </w:rPr>
              <w:t xml:space="preserve">Total number of pupils eligible for PPG </w:t>
            </w:r>
            <w:r w:rsidR="00305639" w:rsidRPr="008517EC">
              <w:rPr>
                <w:rFonts w:cstheme="minorHAnsi"/>
                <w:b/>
              </w:rPr>
              <w:t>(- LAC/Post LAC)</w:t>
            </w:r>
          </w:p>
        </w:tc>
        <w:tc>
          <w:tcPr>
            <w:tcW w:w="1559" w:type="dxa"/>
          </w:tcPr>
          <w:p w:rsidR="006E5548" w:rsidRPr="003342FC" w:rsidRDefault="00851C04" w:rsidP="00162EB6">
            <w:pPr>
              <w:rPr>
                <w:rFonts w:cstheme="minorHAnsi"/>
              </w:rPr>
            </w:pPr>
            <w:r>
              <w:rPr>
                <w:rFonts w:cstheme="minorHAnsi"/>
              </w:rPr>
              <w:t>43</w:t>
            </w:r>
          </w:p>
          <w:p w:rsidR="006E5548" w:rsidRPr="00BD0E7A" w:rsidRDefault="006E5548" w:rsidP="00162EB6">
            <w:pPr>
              <w:rPr>
                <w:rFonts w:cstheme="minorHAnsi"/>
                <w:highlight w:val="yellow"/>
              </w:rPr>
            </w:pPr>
          </w:p>
        </w:tc>
        <w:tc>
          <w:tcPr>
            <w:tcW w:w="2835" w:type="dxa"/>
          </w:tcPr>
          <w:p w:rsidR="006E5548" w:rsidRPr="008517EC" w:rsidRDefault="006E5548" w:rsidP="005E2E6B">
            <w:pPr>
              <w:rPr>
                <w:rFonts w:cstheme="minorHAnsi"/>
                <w:b/>
              </w:rPr>
            </w:pPr>
            <w:r w:rsidRPr="008517EC">
              <w:rPr>
                <w:rFonts w:cstheme="minorHAnsi"/>
                <w:b/>
              </w:rPr>
              <w:t>Number of LAC/ Post LAC pupils</w:t>
            </w:r>
          </w:p>
        </w:tc>
        <w:tc>
          <w:tcPr>
            <w:tcW w:w="1559" w:type="dxa"/>
          </w:tcPr>
          <w:p w:rsidR="006E5548" w:rsidRPr="008517EC" w:rsidRDefault="00305639" w:rsidP="005E2E6B">
            <w:pPr>
              <w:rPr>
                <w:rFonts w:cstheme="minorHAnsi"/>
              </w:rPr>
            </w:pPr>
            <w:r w:rsidRPr="003342FC">
              <w:rPr>
                <w:rFonts w:cstheme="minorHAnsi"/>
              </w:rPr>
              <w:t>3</w:t>
            </w:r>
          </w:p>
        </w:tc>
        <w:tc>
          <w:tcPr>
            <w:tcW w:w="3686" w:type="dxa"/>
          </w:tcPr>
          <w:p w:rsidR="006E5548" w:rsidRPr="008517EC" w:rsidRDefault="006E5548" w:rsidP="00405010">
            <w:pPr>
              <w:rPr>
                <w:rFonts w:cstheme="minorHAnsi"/>
                <w:b/>
              </w:rPr>
            </w:pPr>
            <w:r w:rsidRPr="008517EC">
              <w:rPr>
                <w:rFonts w:cstheme="minorHAnsi"/>
                <w:b/>
              </w:rPr>
              <w:t>Date for next internal review of this strategy</w:t>
            </w:r>
          </w:p>
        </w:tc>
        <w:tc>
          <w:tcPr>
            <w:tcW w:w="2300" w:type="dxa"/>
          </w:tcPr>
          <w:p w:rsidR="006E5548" w:rsidRPr="008517EC" w:rsidRDefault="000314E6" w:rsidP="00405010">
            <w:pPr>
              <w:rPr>
                <w:rFonts w:cstheme="minorHAnsi"/>
              </w:rPr>
            </w:pPr>
            <w:r>
              <w:rPr>
                <w:rFonts w:cstheme="minorHAnsi"/>
              </w:rPr>
              <w:t>Feb 2023</w:t>
            </w:r>
          </w:p>
        </w:tc>
      </w:tr>
    </w:tbl>
    <w:p w:rsidR="000D06F2" w:rsidRPr="008517EC" w:rsidRDefault="000D06F2" w:rsidP="000D06F2">
      <w:pPr>
        <w:rPr>
          <w:rFonts w:cstheme="minorHAnsi"/>
        </w:rPr>
      </w:pPr>
    </w:p>
    <w:p w:rsidR="0039240C" w:rsidRPr="008517EC" w:rsidRDefault="0039240C" w:rsidP="000D06F2">
      <w:pPr>
        <w:rPr>
          <w:rFonts w:cstheme="minorHAnsi"/>
        </w:rPr>
      </w:pPr>
    </w:p>
    <w:tbl>
      <w:tblPr>
        <w:tblStyle w:val="TableGrid"/>
        <w:tblW w:w="14034" w:type="dxa"/>
        <w:tblInd w:w="108" w:type="dxa"/>
        <w:tblLook w:val="04A0" w:firstRow="1" w:lastRow="0" w:firstColumn="1" w:lastColumn="0" w:noHBand="0" w:noVBand="1"/>
      </w:tblPr>
      <w:tblGrid>
        <w:gridCol w:w="426"/>
        <w:gridCol w:w="6591"/>
        <w:gridCol w:w="7017"/>
      </w:tblGrid>
      <w:tr w:rsidR="006236B4" w:rsidRPr="008517EC" w:rsidTr="00983A5C">
        <w:tc>
          <w:tcPr>
            <w:tcW w:w="7017" w:type="dxa"/>
            <w:gridSpan w:val="2"/>
            <w:shd w:val="clear" w:color="auto" w:fill="FBD4B4" w:themeFill="accent6" w:themeFillTint="66"/>
          </w:tcPr>
          <w:p w:rsidR="006236B4" w:rsidRPr="008517EC" w:rsidRDefault="006236B4" w:rsidP="009C6D8C">
            <w:pPr>
              <w:rPr>
                <w:rFonts w:cstheme="minorHAnsi"/>
                <w:b/>
                <w:sz w:val="24"/>
                <w:szCs w:val="24"/>
              </w:rPr>
            </w:pPr>
            <w:r w:rsidRPr="008517EC">
              <w:rPr>
                <w:rFonts w:cstheme="minorHAnsi"/>
                <w:b/>
                <w:sz w:val="24"/>
                <w:szCs w:val="24"/>
              </w:rPr>
              <w:t>Current Attainment</w:t>
            </w:r>
          </w:p>
          <w:p w:rsidR="009C6D8C" w:rsidRPr="008517EC" w:rsidRDefault="009C6D8C" w:rsidP="009C6D8C">
            <w:pPr>
              <w:rPr>
                <w:rFonts w:cstheme="minorHAnsi"/>
                <w:b/>
                <w:sz w:val="24"/>
                <w:szCs w:val="24"/>
              </w:rPr>
            </w:pPr>
          </w:p>
        </w:tc>
        <w:tc>
          <w:tcPr>
            <w:tcW w:w="7017" w:type="dxa"/>
            <w:shd w:val="clear" w:color="auto" w:fill="FBD4B4" w:themeFill="accent6" w:themeFillTint="66"/>
          </w:tcPr>
          <w:p w:rsidR="006236B4" w:rsidRPr="008517EC" w:rsidRDefault="006236B4" w:rsidP="009C6D8C">
            <w:pPr>
              <w:rPr>
                <w:rFonts w:cstheme="minorHAnsi"/>
                <w:b/>
                <w:sz w:val="24"/>
                <w:szCs w:val="24"/>
              </w:rPr>
            </w:pPr>
            <w:r w:rsidRPr="008517EC">
              <w:rPr>
                <w:rFonts w:cstheme="minorHAnsi"/>
                <w:b/>
                <w:sz w:val="24"/>
                <w:szCs w:val="24"/>
              </w:rPr>
              <w:t>Overall Aim</w:t>
            </w:r>
          </w:p>
        </w:tc>
      </w:tr>
      <w:tr w:rsidR="006236B4" w:rsidRPr="008517EC" w:rsidTr="00F346D5">
        <w:tc>
          <w:tcPr>
            <w:tcW w:w="7017" w:type="dxa"/>
            <w:gridSpan w:val="2"/>
          </w:tcPr>
          <w:p w:rsidR="006236B4" w:rsidRPr="008517EC" w:rsidRDefault="006236B4" w:rsidP="000D06F2">
            <w:pPr>
              <w:rPr>
                <w:rFonts w:cstheme="minorHAnsi"/>
              </w:rPr>
            </w:pPr>
            <w:r w:rsidRPr="008517EC">
              <w:rPr>
                <w:rFonts w:cstheme="minorHAnsi"/>
              </w:rPr>
              <w:t>All students have an EHC plan. A large majority of students are working below age related expectations</w:t>
            </w:r>
            <w:r w:rsidR="0087767B" w:rsidRPr="008517EC">
              <w:rPr>
                <w:rFonts w:cstheme="minorHAnsi"/>
              </w:rPr>
              <w:t xml:space="preserve">. </w:t>
            </w:r>
            <w:r w:rsidR="00F44F92" w:rsidRPr="008517EC">
              <w:rPr>
                <w:rFonts w:cstheme="minorHAnsi"/>
              </w:rPr>
              <w:t>In general Ashley High PP pupils achieve the same or better than their non PP peers.</w:t>
            </w:r>
          </w:p>
        </w:tc>
        <w:tc>
          <w:tcPr>
            <w:tcW w:w="7017" w:type="dxa"/>
          </w:tcPr>
          <w:p w:rsidR="006236B4" w:rsidRPr="008517EC" w:rsidRDefault="00C73BE6" w:rsidP="0015445E">
            <w:pPr>
              <w:rPr>
                <w:rFonts w:cstheme="minorHAnsi"/>
              </w:rPr>
            </w:pPr>
            <w:r w:rsidRPr="008517EC">
              <w:rPr>
                <w:rFonts w:cstheme="minorHAnsi"/>
              </w:rPr>
              <w:t xml:space="preserve">The targeted use of PPG will support us in achieving our personalised pupil </w:t>
            </w:r>
            <w:r w:rsidR="0015445E" w:rsidRPr="008517EC">
              <w:rPr>
                <w:rFonts w:cstheme="minorHAnsi"/>
              </w:rPr>
              <w:t>offer</w:t>
            </w:r>
            <w:r w:rsidR="00B748D0" w:rsidRPr="008517EC">
              <w:rPr>
                <w:rFonts w:cstheme="minorHAnsi"/>
              </w:rPr>
              <w:t xml:space="preserve"> for disadvantaged pupils</w:t>
            </w:r>
            <w:r w:rsidR="0015445E" w:rsidRPr="008517EC">
              <w:rPr>
                <w:rFonts w:cstheme="minorHAnsi"/>
              </w:rPr>
              <w:t>. The strategic use of PPG will</w:t>
            </w:r>
            <w:r w:rsidRPr="008517EC">
              <w:rPr>
                <w:rFonts w:cstheme="minorHAnsi"/>
              </w:rPr>
              <w:t xml:space="preserve"> facilitate this group of pupils</w:t>
            </w:r>
            <w:r w:rsidR="006236B4" w:rsidRPr="008517EC">
              <w:rPr>
                <w:rFonts w:cstheme="minorHAnsi"/>
              </w:rPr>
              <w:t xml:space="preserve"> achieving their full potential</w:t>
            </w:r>
            <w:r w:rsidR="000A6C52" w:rsidRPr="008517EC">
              <w:rPr>
                <w:rFonts w:cstheme="minorHAnsi"/>
              </w:rPr>
              <w:t xml:space="preserve"> and ensure when necessary they have full access to remote learning</w:t>
            </w:r>
            <w:r w:rsidR="0015445E" w:rsidRPr="008517EC">
              <w:rPr>
                <w:rFonts w:cstheme="minorHAnsi"/>
              </w:rPr>
              <w:t>.</w:t>
            </w:r>
          </w:p>
        </w:tc>
      </w:tr>
      <w:tr w:rsidR="000D06F2" w:rsidRPr="008517EC" w:rsidTr="00983A5C">
        <w:tc>
          <w:tcPr>
            <w:tcW w:w="14034" w:type="dxa"/>
            <w:gridSpan w:val="3"/>
            <w:shd w:val="clear" w:color="auto" w:fill="FBD4B4" w:themeFill="accent6" w:themeFillTint="66"/>
          </w:tcPr>
          <w:p w:rsidR="000D06F2" w:rsidRPr="008517EC" w:rsidRDefault="00AF6A16" w:rsidP="009C6D8C">
            <w:pPr>
              <w:rPr>
                <w:rFonts w:cstheme="minorHAnsi"/>
                <w:b/>
                <w:sz w:val="24"/>
                <w:szCs w:val="24"/>
              </w:rPr>
            </w:pPr>
            <w:r w:rsidRPr="008517EC">
              <w:rPr>
                <w:rFonts w:cstheme="minorHAnsi"/>
                <w:b/>
                <w:sz w:val="24"/>
                <w:szCs w:val="24"/>
              </w:rPr>
              <w:t>Main b</w:t>
            </w:r>
            <w:r w:rsidR="000D06F2" w:rsidRPr="008517EC">
              <w:rPr>
                <w:rFonts w:cstheme="minorHAnsi"/>
                <w:b/>
                <w:sz w:val="24"/>
                <w:szCs w:val="24"/>
              </w:rPr>
              <w:t>arriers to future attainment (for pupils eligible for PP)</w:t>
            </w:r>
          </w:p>
          <w:p w:rsidR="000D06F2" w:rsidRPr="008517EC" w:rsidRDefault="000D06F2" w:rsidP="000D06F2">
            <w:pPr>
              <w:rPr>
                <w:rFonts w:cstheme="minorHAnsi"/>
                <w:sz w:val="24"/>
                <w:szCs w:val="24"/>
              </w:rPr>
            </w:pPr>
          </w:p>
        </w:tc>
      </w:tr>
      <w:tr w:rsidR="000D06F2" w:rsidRPr="008517EC" w:rsidTr="0039240C">
        <w:tc>
          <w:tcPr>
            <w:tcW w:w="426" w:type="dxa"/>
          </w:tcPr>
          <w:p w:rsidR="000D06F2" w:rsidRPr="008517EC" w:rsidRDefault="00AF6A16" w:rsidP="00AF6A16">
            <w:pPr>
              <w:rPr>
                <w:rFonts w:cstheme="minorHAnsi"/>
              </w:rPr>
            </w:pPr>
            <w:r w:rsidRPr="008517EC">
              <w:rPr>
                <w:rFonts w:cstheme="minorHAnsi"/>
              </w:rPr>
              <w:t>A.</w:t>
            </w:r>
          </w:p>
        </w:tc>
        <w:tc>
          <w:tcPr>
            <w:tcW w:w="13608" w:type="dxa"/>
            <w:gridSpan w:val="2"/>
          </w:tcPr>
          <w:p w:rsidR="000D06F2" w:rsidRPr="008517EC" w:rsidRDefault="005D1064" w:rsidP="00AF6A16">
            <w:pPr>
              <w:rPr>
                <w:rFonts w:cstheme="minorHAnsi"/>
              </w:rPr>
            </w:pPr>
            <w:r>
              <w:rPr>
                <w:rFonts w:cstheme="minorHAnsi"/>
              </w:rPr>
              <w:t>Social and emotional m</w:t>
            </w:r>
            <w:r w:rsidR="006236B4" w:rsidRPr="008517EC">
              <w:rPr>
                <w:rFonts w:cstheme="minorHAnsi"/>
              </w:rPr>
              <w:t>ental health</w:t>
            </w:r>
            <w:r w:rsidR="00A0287F" w:rsidRPr="008517EC">
              <w:rPr>
                <w:rFonts w:cstheme="minorHAnsi"/>
              </w:rPr>
              <w:t>, self-esteem, attachment</w:t>
            </w:r>
            <w:r w:rsidR="009868CC" w:rsidRPr="008517EC">
              <w:rPr>
                <w:rFonts w:cstheme="minorHAnsi"/>
              </w:rPr>
              <w:t>, anxiety</w:t>
            </w:r>
            <w:r w:rsidR="00A0287F" w:rsidRPr="008517EC">
              <w:rPr>
                <w:rFonts w:cstheme="minorHAnsi"/>
              </w:rPr>
              <w:t xml:space="preserve"> issues</w:t>
            </w:r>
          </w:p>
        </w:tc>
      </w:tr>
      <w:tr w:rsidR="00B25DD7" w:rsidRPr="008517EC" w:rsidTr="0039240C">
        <w:tc>
          <w:tcPr>
            <w:tcW w:w="426" w:type="dxa"/>
          </w:tcPr>
          <w:p w:rsidR="00B25DD7" w:rsidRPr="008517EC" w:rsidRDefault="00B25DD7" w:rsidP="000D06F2">
            <w:pPr>
              <w:rPr>
                <w:rFonts w:cstheme="minorHAnsi"/>
              </w:rPr>
            </w:pPr>
            <w:r w:rsidRPr="008517EC">
              <w:rPr>
                <w:rFonts w:cstheme="minorHAnsi"/>
              </w:rPr>
              <w:t>B.</w:t>
            </w:r>
          </w:p>
        </w:tc>
        <w:tc>
          <w:tcPr>
            <w:tcW w:w="13608" w:type="dxa"/>
            <w:gridSpan w:val="2"/>
          </w:tcPr>
          <w:p w:rsidR="00B25DD7" w:rsidRPr="008517EC" w:rsidRDefault="006236B4" w:rsidP="005D1064">
            <w:pPr>
              <w:rPr>
                <w:rFonts w:cstheme="minorHAnsi"/>
              </w:rPr>
            </w:pPr>
            <w:r w:rsidRPr="008517EC">
              <w:rPr>
                <w:rFonts w:cstheme="minorHAnsi"/>
              </w:rPr>
              <w:t xml:space="preserve">ASC related </w:t>
            </w:r>
            <w:r w:rsidR="000A6C52" w:rsidRPr="008517EC">
              <w:rPr>
                <w:rFonts w:cstheme="minorHAnsi"/>
              </w:rPr>
              <w:t xml:space="preserve">behaviours, </w:t>
            </w:r>
            <w:r w:rsidR="005D1064">
              <w:rPr>
                <w:rFonts w:cstheme="minorHAnsi"/>
              </w:rPr>
              <w:t>Sensory and environmental needs</w:t>
            </w:r>
          </w:p>
        </w:tc>
      </w:tr>
      <w:tr w:rsidR="00B25DD7" w:rsidRPr="008517EC" w:rsidTr="0039240C">
        <w:tc>
          <w:tcPr>
            <w:tcW w:w="426" w:type="dxa"/>
          </w:tcPr>
          <w:p w:rsidR="00B25DD7" w:rsidRPr="008517EC" w:rsidRDefault="00B25DD7" w:rsidP="000D06F2">
            <w:pPr>
              <w:rPr>
                <w:rFonts w:cstheme="minorHAnsi"/>
              </w:rPr>
            </w:pPr>
            <w:r w:rsidRPr="008517EC">
              <w:rPr>
                <w:rFonts w:cstheme="minorHAnsi"/>
              </w:rPr>
              <w:t>C.</w:t>
            </w:r>
          </w:p>
        </w:tc>
        <w:tc>
          <w:tcPr>
            <w:tcW w:w="13608" w:type="dxa"/>
            <w:gridSpan w:val="2"/>
          </w:tcPr>
          <w:p w:rsidR="00B25DD7" w:rsidRPr="008517EC" w:rsidRDefault="00B25DD7" w:rsidP="003853B5">
            <w:pPr>
              <w:rPr>
                <w:rFonts w:cstheme="minorHAnsi"/>
              </w:rPr>
            </w:pPr>
            <w:r w:rsidRPr="008517EC">
              <w:rPr>
                <w:rFonts w:cstheme="minorHAnsi"/>
              </w:rPr>
              <w:t>S</w:t>
            </w:r>
            <w:r w:rsidR="00977402" w:rsidRPr="008517EC">
              <w:rPr>
                <w:rFonts w:cstheme="minorHAnsi"/>
              </w:rPr>
              <w:t>peech and language, s</w:t>
            </w:r>
            <w:r w:rsidRPr="008517EC">
              <w:rPr>
                <w:rFonts w:cstheme="minorHAnsi"/>
              </w:rPr>
              <w:t xml:space="preserve">ocial communication and interaction difficulties  </w:t>
            </w:r>
          </w:p>
        </w:tc>
      </w:tr>
      <w:tr w:rsidR="00B25DD7" w:rsidRPr="008517EC" w:rsidTr="0039240C">
        <w:tc>
          <w:tcPr>
            <w:tcW w:w="426" w:type="dxa"/>
          </w:tcPr>
          <w:p w:rsidR="00B25DD7" w:rsidRPr="008517EC" w:rsidRDefault="00B25DD7" w:rsidP="000D06F2">
            <w:pPr>
              <w:rPr>
                <w:rFonts w:cstheme="minorHAnsi"/>
              </w:rPr>
            </w:pPr>
            <w:r w:rsidRPr="008517EC">
              <w:rPr>
                <w:rFonts w:cstheme="minorHAnsi"/>
              </w:rPr>
              <w:t>D.</w:t>
            </w:r>
          </w:p>
        </w:tc>
        <w:tc>
          <w:tcPr>
            <w:tcW w:w="13608" w:type="dxa"/>
            <w:gridSpan w:val="2"/>
          </w:tcPr>
          <w:p w:rsidR="00B25DD7" w:rsidRPr="008517EC" w:rsidRDefault="00767BAC" w:rsidP="00767BAC">
            <w:pPr>
              <w:rPr>
                <w:rFonts w:cstheme="minorHAnsi"/>
              </w:rPr>
            </w:pPr>
            <w:r w:rsidRPr="008517EC">
              <w:rPr>
                <w:rFonts w:cstheme="minorHAnsi"/>
              </w:rPr>
              <w:t>Some PP p</w:t>
            </w:r>
            <w:r w:rsidR="006236B4" w:rsidRPr="008517EC">
              <w:rPr>
                <w:rFonts w:cstheme="minorHAnsi"/>
              </w:rPr>
              <w:t>upils working below age related expectations</w:t>
            </w:r>
          </w:p>
        </w:tc>
      </w:tr>
      <w:tr w:rsidR="00B25DD7" w:rsidRPr="008517EC" w:rsidTr="0039240C">
        <w:tc>
          <w:tcPr>
            <w:tcW w:w="426" w:type="dxa"/>
          </w:tcPr>
          <w:p w:rsidR="00B25DD7" w:rsidRPr="008517EC" w:rsidRDefault="00B25DD7" w:rsidP="00062FD5">
            <w:pPr>
              <w:rPr>
                <w:rFonts w:cstheme="minorHAnsi"/>
              </w:rPr>
            </w:pPr>
            <w:r w:rsidRPr="008517EC">
              <w:rPr>
                <w:rFonts w:cstheme="minorHAnsi"/>
              </w:rPr>
              <w:t>E.</w:t>
            </w:r>
          </w:p>
        </w:tc>
        <w:tc>
          <w:tcPr>
            <w:tcW w:w="13608" w:type="dxa"/>
            <w:gridSpan w:val="2"/>
          </w:tcPr>
          <w:p w:rsidR="00B25DD7" w:rsidRPr="008517EC" w:rsidRDefault="00B25DD7" w:rsidP="00062FD5">
            <w:pPr>
              <w:rPr>
                <w:rFonts w:cstheme="minorHAnsi"/>
              </w:rPr>
            </w:pPr>
            <w:r w:rsidRPr="008517EC">
              <w:rPr>
                <w:rFonts w:cstheme="minorHAnsi"/>
              </w:rPr>
              <w:t xml:space="preserve">Lack of enrichment </w:t>
            </w:r>
            <w:r w:rsidR="009143F5">
              <w:rPr>
                <w:rFonts w:cstheme="minorHAnsi"/>
              </w:rPr>
              <w:t xml:space="preserve"> and practical </w:t>
            </w:r>
            <w:r w:rsidRPr="008517EC">
              <w:rPr>
                <w:rFonts w:cstheme="minorHAnsi"/>
              </w:rPr>
              <w:t>experiences</w:t>
            </w:r>
          </w:p>
        </w:tc>
      </w:tr>
    </w:tbl>
    <w:p w:rsidR="00C15524" w:rsidRPr="008517EC" w:rsidRDefault="00C15524" w:rsidP="00B25DD7">
      <w:pPr>
        <w:pStyle w:val="Subtitle"/>
        <w:rPr>
          <w:rFonts w:asciiTheme="minorHAnsi" w:hAnsiTheme="minorHAnsi" w:cstheme="minorHAnsi"/>
        </w:rPr>
      </w:pPr>
    </w:p>
    <w:tbl>
      <w:tblPr>
        <w:tblW w:w="15072"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179"/>
        <w:gridCol w:w="1107"/>
        <w:gridCol w:w="1825"/>
        <w:gridCol w:w="1843"/>
        <w:gridCol w:w="8080"/>
      </w:tblGrid>
      <w:tr w:rsidR="00352ABD" w:rsidRPr="00E438BE" w:rsidTr="000937F9">
        <w:tc>
          <w:tcPr>
            <w:tcW w:w="15072" w:type="dxa"/>
            <w:gridSpan w:val="6"/>
            <w:shd w:val="clear" w:color="auto" w:fill="FBD4B4" w:themeFill="accent6" w:themeFillTint="66"/>
          </w:tcPr>
          <w:p w:rsidR="00352ABD" w:rsidRPr="00E438BE" w:rsidRDefault="0014665A" w:rsidP="00767BAC">
            <w:pPr>
              <w:jc w:val="center"/>
              <w:rPr>
                <w:rFonts w:cstheme="minorHAnsi"/>
                <w:b/>
                <w:sz w:val="24"/>
                <w:szCs w:val="24"/>
              </w:rPr>
            </w:pPr>
            <w:r>
              <w:rPr>
                <w:rFonts w:cstheme="minorHAnsi"/>
                <w:b/>
                <w:sz w:val="24"/>
                <w:szCs w:val="24"/>
              </w:rPr>
              <w:t>Actual</w:t>
            </w:r>
            <w:r w:rsidR="005D1064">
              <w:rPr>
                <w:rFonts w:cstheme="minorHAnsi"/>
                <w:b/>
                <w:sz w:val="24"/>
                <w:szCs w:val="24"/>
              </w:rPr>
              <w:t xml:space="preserve"> Spend for 2021/22</w:t>
            </w:r>
          </w:p>
        </w:tc>
      </w:tr>
      <w:tr w:rsidR="00352ABD" w:rsidRPr="00E438BE" w:rsidTr="000937F9">
        <w:trPr>
          <w:trHeight w:val="1224"/>
        </w:trPr>
        <w:tc>
          <w:tcPr>
            <w:tcW w:w="1038" w:type="dxa"/>
            <w:shd w:val="clear" w:color="auto" w:fill="FBD4B4" w:themeFill="accent6" w:themeFillTint="66"/>
          </w:tcPr>
          <w:p w:rsidR="00352ABD" w:rsidRPr="00E438BE" w:rsidRDefault="00352ABD" w:rsidP="00760A21">
            <w:pPr>
              <w:rPr>
                <w:rFonts w:cstheme="minorHAnsi"/>
                <w:b/>
                <w:sz w:val="20"/>
                <w:szCs w:val="20"/>
              </w:rPr>
            </w:pPr>
            <w:r w:rsidRPr="00E438BE">
              <w:rPr>
                <w:rFonts w:cstheme="minorHAnsi"/>
                <w:b/>
                <w:sz w:val="20"/>
                <w:szCs w:val="20"/>
              </w:rPr>
              <w:t>PP Strategy ref:</w:t>
            </w:r>
          </w:p>
        </w:tc>
        <w:tc>
          <w:tcPr>
            <w:tcW w:w="1179" w:type="dxa"/>
            <w:shd w:val="clear" w:color="auto" w:fill="FBD4B4" w:themeFill="accent6" w:themeFillTint="66"/>
          </w:tcPr>
          <w:p w:rsidR="00352ABD" w:rsidRPr="00E438BE" w:rsidRDefault="00352ABD" w:rsidP="00760A21">
            <w:pPr>
              <w:rPr>
                <w:rFonts w:cstheme="minorHAnsi"/>
                <w:b/>
                <w:sz w:val="20"/>
                <w:szCs w:val="20"/>
              </w:rPr>
            </w:pPr>
            <w:r w:rsidRPr="00E438BE">
              <w:rPr>
                <w:rFonts w:cstheme="minorHAnsi"/>
                <w:b/>
                <w:sz w:val="20"/>
                <w:szCs w:val="20"/>
              </w:rPr>
              <w:t>Pupil Premium Forecast Spend</w:t>
            </w:r>
          </w:p>
        </w:tc>
        <w:tc>
          <w:tcPr>
            <w:tcW w:w="1107" w:type="dxa"/>
            <w:shd w:val="clear" w:color="auto" w:fill="FBD4B4" w:themeFill="accent6" w:themeFillTint="66"/>
          </w:tcPr>
          <w:p w:rsidR="00352ABD" w:rsidRPr="00E438BE" w:rsidRDefault="00352ABD" w:rsidP="00760A21">
            <w:pPr>
              <w:rPr>
                <w:rFonts w:cstheme="minorHAnsi"/>
                <w:b/>
                <w:sz w:val="20"/>
                <w:szCs w:val="20"/>
              </w:rPr>
            </w:pPr>
            <w:r w:rsidRPr="00E438BE">
              <w:rPr>
                <w:rFonts w:cstheme="minorHAnsi"/>
                <w:b/>
                <w:sz w:val="20"/>
                <w:szCs w:val="20"/>
              </w:rPr>
              <w:t>Pupil Premium Actual Spend</w:t>
            </w:r>
          </w:p>
        </w:tc>
        <w:tc>
          <w:tcPr>
            <w:tcW w:w="1825" w:type="dxa"/>
            <w:shd w:val="clear" w:color="auto" w:fill="FBD4B4" w:themeFill="accent6" w:themeFillTint="66"/>
          </w:tcPr>
          <w:p w:rsidR="00352ABD" w:rsidRPr="00E438BE" w:rsidRDefault="009C6D8C" w:rsidP="00760A21">
            <w:pPr>
              <w:rPr>
                <w:rFonts w:cstheme="minorHAnsi"/>
                <w:b/>
                <w:sz w:val="20"/>
                <w:szCs w:val="20"/>
              </w:rPr>
            </w:pPr>
            <w:r w:rsidRPr="00E438BE">
              <w:rPr>
                <w:rFonts w:cstheme="minorHAnsi"/>
                <w:b/>
                <w:sz w:val="20"/>
                <w:szCs w:val="20"/>
              </w:rPr>
              <w:t>Action/Approach</w:t>
            </w:r>
          </w:p>
        </w:tc>
        <w:tc>
          <w:tcPr>
            <w:tcW w:w="1843" w:type="dxa"/>
            <w:shd w:val="clear" w:color="auto" w:fill="FBD4B4" w:themeFill="accent6" w:themeFillTint="66"/>
          </w:tcPr>
          <w:p w:rsidR="00352ABD" w:rsidRPr="00E438BE" w:rsidRDefault="00352ABD" w:rsidP="00760A21">
            <w:pPr>
              <w:rPr>
                <w:rFonts w:cstheme="minorHAnsi"/>
                <w:b/>
                <w:sz w:val="20"/>
                <w:szCs w:val="20"/>
              </w:rPr>
            </w:pPr>
            <w:r w:rsidRPr="00E438BE">
              <w:rPr>
                <w:rFonts w:cstheme="minorHAnsi"/>
                <w:b/>
                <w:sz w:val="20"/>
                <w:szCs w:val="20"/>
              </w:rPr>
              <w:t xml:space="preserve">Target Groups </w:t>
            </w:r>
          </w:p>
        </w:tc>
        <w:tc>
          <w:tcPr>
            <w:tcW w:w="8080" w:type="dxa"/>
            <w:shd w:val="clear" w:color="auto" w:fill="FBD4B4" w:themeFill="accent6" w:themeFillTint="66"/>
          </w:tcPr>
          <w:p w:rsidR="00352ABD" w:rsidRPr="00E438BE" w:rsidRDefault="0039240C" w:rsidP="00760A21">
            <w:pPr>
              <w:jc w:val="center"/>
              <w:rPr>
                <w:rFonts w:cstheme="minorHAnsi"/>
                <w:b/>
                <w:sz w:val="20"/>
                <w:szCs w:val="20"/>
              </w:rPr>
            </w:pPr>
            <w:r w:rsidRPr="00E438BE">
              <w:rPr>
                <w:rFonts w:cstheme="minorHAnsi"/>
                <w:b/>
                <w:sz w:val="20"/>
                <w:szCs w:val="20"/>
              </w:rPr>
              <w:t>Success Criteria/Evidence of Impact measures</w:t>
            </w:r>
          </w:p>
        </w:tc>
      </w:tr>
      <w:tr w:rsidR="00352ABD" w:rsidRPr="00E438BE" w:rsidTr="00C71F42">
        <w:tc>
          <w:tcPr>
            <w:tcW w:w="1038" w:type="dxa"/>
            <w:shd w:val="clear" w:color="auto" w:fill="auto"/>
          </w:tcPr>
          <w:p w:rsidR="00352ABD" w:rsidRPr="00E438BE" w:rsidRDefault="006236B4" w:rsidP="006236B4">
            <w:pPr>
              <w:jc w:val="center"/>
              <w:rPr>
                <w:rFonts w:cstheme="minorHAnsi"/>
                <w:sz w:val="20"/>
                <w:szCs w:val="20"/>
              </w:rPr>
            </w:pPr>
            <w:r w:rsidRPr="00E438BE">
              <w:rPr>
                <w:rFonts w:cstheme="minorHAnsi"/>
                <w:sz w:val="20"/>
                <w:szCs w:val="20"/>
              </w:rPr>
              <w:t>A</w:t>
            </w:r>
          </w:p>
        </w:tc>
        <w:tc>
          <w:tcPr>
            <w:tcW w:w="1179" w:type="dxa"/>
            <w:shd w:val="clear" w:color="auto" w:fill="auto"/>
          </w:tcPr>
          <w:p w:rsidR="003F761D" w:rsidRPr="00E438BE" w:rsidRDefault="005D1064" w:rsidP="00BD0E7A">
            <w:pPr>
              <w:rPr>
                <w:rFonts w:cstheme="minorHAnsi"/>
                <w:sz w:val="20"/>
                <w:szCs w:val="20"/>
              </w:rPr>
            </w:pPr>
            <w:r>
              <w:rPr>
                <w:rFonts w:cstheme="minorHAnsi"/>
                <w:sz w:val="20"/>
                <w:szCs w:val="20"/>
              </w:rPr>
              <w:t>£8190</w:t>
            </w:r>
          </w:p>
        </w:tc>
        <w:tc>
          <w:tcPr>
            <w:tcW w:w="1107" w:type="dxa"/>
            <w:shd w:val="clear" w:color="auto" w:fill="auto"/>
          </w:tcPr>
          <w:p w:rsidR="00352ABD" w:rsidRPr="00E438BE" w:rsidRDefault="00897F67" w:rsidP="00897F67">
            <w:pPr>
              <w:jc w:val="center"/>
              <w:rPr>
                <w:rFonts w:cstheme="minorHAnsi"/>
                <w:b/>
                <w:sz w:val="20"/>
                <w:szCs w:val="20"/>
              </w:rPr>
            </w:pPr>
            <w:r>
              <w:rPr>
                <w:rFonts w:cstheme="minorHAnsi"/>
                <w:b/>
                <w:sz w:val="20"/>
                <w:szCs w:val="20"/>
              </w:rPr>
              <w:t>£8244</w:t>
            </w:r>
          </w:p>
        </w:tc>
        <w:tc>
          <w:tcPr>
            <w:tcW w:w="1825" w:type="dxa"/>
            <w:shd w:val="clear" w:color="auto" w:fill="auto"/>
          </w:tcPr>
          <w:p w:rsidR="00352ABD" w:rsidRPr="00E438BE" w:rsidRDefault="00352ABD" w:rsidP="003F761D">
            <w:pPr>
              <w:rPr>
                <w:rFonts w:cstheme="minorHAnsi"/>
                <w:sz w:val="20"/>
                <w:szCs w:val="20"/>
              </w:rPr>
            </w:pPr>
            <w:r w:rsidRPr="00E438BE">
              <w:rPr>
                <w:rFonts w:cstheme="minorHAnsi"/>
                <w:b/>
                <w:sz w:val="20"/>
                <w:szCs w:val="20"/>
              </w:rPr>
              <w:t xml:space="preserve">Counsellor/Reiki Therapist </w:t>
            </w:r>
            <w:r w:rsidR="0078211F" w:rsidRPr="00E438BE">
              <w:rPr>
                <w:rFonts w:cstheme="minorHAnsi"/>
                <w:sz w:val="20"/>
                <w:szCs w:val="20"/>
              </w:rPr>
              <w:t xml:space="preserve">employed one day  </w:t>
            </w:r>
            <w:r w:rsidRPr="00E438BE">
              <w:rPr>
                <w:rFonts w:cstheme="minorHAnsi"/>
                <w:sz w:val="20"/>
                <w:szCs w:val="20"/>
              </w:rPr>
              <w:t>per week</w:t>
            </w:r>
            <w:r w:rsidR="0078211F" w:rsidRPr="00E438BE">
              <w:rPr>
                <w:rFonts w:cstheme="minorHAnsi"/>
                <w:sz w:val="20"/>
                <w:szCs w:val="20"/>
              </w:rPr>
              <w:t xml:space="preserve"> </w:t>
            </w:r>
          </w:p>
        </w:tc>
        <w:tc>
          <w:tcPr>
            <w:tcW w:w="1843" w:type="dxa"/>
            <w:shd w:val="clear" w:color="auto" w:fill="auto"/>
          </w:tcPr>
          <w:p w:rsidR="00352ABD" w:rsidRPr="00E438BE" w:rsidRDefault="0084550B" w:rsidP="0084550B">
            <w:pPr>
              <w:pStyle w:val="NoSpacing"/>
              <w:rPr>
                <w:rFonts w:cstheme="minorHAnsi"/>
                <w:sz w:val="20"/>
                <w:szCs w:val="20"/>
              </w:rPr>
            </w:pPr>
            <w:r w:rsidRPr="00E438BE">
              <w:rPr>
                <w:rFonts w:cstheme="minorHAnsi"/>
                <w:sz w:val="20"/>
                <w:szCs w:val="20"/>
              </w:rPr>
              <w:t xml:space="preserve">1-1 </w:t>
            </w:r>
            <w:r w:rsidR="008E6B55" w:rsidRPr="00E438BE">
              <w:rPr>
                <w:rFonts w:cstheme="minorHAnsi"/>
                <w:sz w:val="20"/>
                <w:szCs w:val="20"/>
              </w:rPr>
              <w:t xml:space="preserve">counselling </w:t>
            </w:r>
            <w:r w:rsidR="00352ABD" w:rsidRPr="00E438BE">
              <w:rPr>
                <w:rFonts w:cstheme="minorHAnsi"/>
                <w:sz w:val="20"/>
                <w:szCs w:val="20"/>
              </w:rPr>
              <w:t xml:space="preserve">sessions for the more vulnerable </w:t>
            </w:r>
            <w:r w:rsidR="008E6B55" w:rsidRPr="00E438BE">
              <w:rPr>
                <w:rFonts w:cstheme="minorHAnsi"/>
                <w:sz w:val="20"/>
                <w:szCs w:val="20"/>
              </w:rPr>
              <w:t xml:space="preserve">PP </w:t>
            </w:r>
            <w:r w:rsidR="00352ABD" w:rsidRPr="00E438BE">
              <w:rPr>
                <w:rFonts w:cstheme="minorHAnsi"/>
                <w:sz w:val="20"/>
                <w:szCs w:val="20"/>
              </w:rPr>
              <w:t xml:space="preserve">pupils. </w:t>
            </w:r>
          </w:p>
        </w:tc>
        <w:tc>
          <w:tcPr>
            <w:tcW w:w="8080" w:type="dxa"/>
            <w:shd w:val="clear" w:color="auto" w:fill="auto"/>
          </w:tcPr>
          <w:p w:rsidR="00352ABD" w:rsidRPr="00E438BE" w:rsidRDefault="00413656" w:rsidP="005D1064">
            <w:pPr>
              <w:pStyle w:val="NoSpacing"/>
              <w:rPr>
                <w:rFonts w:cstheme="minorHAnsi"/>
              </w:rPr>
            </w:pPr>
            <w:r w:rsidRPr="00E438BE">
              <w:rPr>
                <w:rFonts w:cstheme="minorHAnsi"/>
              </w:rPr>
              <w:t>The more vulnerable pupils have</w:t>
            </w:r>
            <w:r w:rsidR="00352ABD" w:rsidRPr="00E438BE">
              <w:rPr>
                <w:rFonts w:cstheme="minorHAnsi"/>
              </w:rPr>
              <w:t xml:space="preserve"> access</w:t>
            </w:r>
            <w:r w:rsidRPr="00E438BE">
              <w:rPr>
                <w:rFonts w:cstheme="minorHAnsi"/>
              </w:rPr>
              <w:t>ed</w:t>
            </w:r>
            <w:r w:rsidR="00352ABD" w:rsidRPr="00E438BE">
              <w:rPr>
                <w:rFonts w:cstheme="minorHAnsi"/>
              </w:rPr>
              <w:t xml:space="preserve"> 1-1 counselling session</w:t>
            </w:r>
            <w:r w:rsidRPr="00E438BE">
              <w:rPr>
                <w:rFonts w:cstheme="minorHAnsi"/>
              </w:rPr>
              <w:t>s with a trained counsellor. Pupil and family anxiety levels have been</w:t>
            </w:r>
            <w:r w:rsidR="00352ABD" w:rsidRPr="00E438BE">
              <w:rPr>
                <w:rFonts w:cstheme="minorHAnsi"/>
              </w:rPr>
              <w:t xml:space="preserve"> reduced and strategies given to deal with personal issues</w:t>
            </w:r>
            <w:r w:rsidR="005D1064">
              <w:rPr>
                <w:rFonts w:cstheme="minorHAnsi"/>
              </w:rPr>
              <w:t xml:space="preserve">. </w:t>
            </w:r>
            <w:r w:rsidR="00352ABD" w:rsidRPr="00E438BE">
              <w:rPr>
                <w:rFonts w:cstheme="minorHAnsi"/>
              </w:rPr>
              <w:t>Improved emotional wellbeing, self-esteem and resilience i</w:t>
            </w:r>
            <w:r w:rsidR="005D1064">
              <w:rPr>
                <w:rFonts w:cstheme="minorHAnsi"/>
              </w:rPr>
              <w:t>n targeted PP children</w:t>
            </w:r>
            <w:r w:rsidR="00BB67A2" w:rsidRPr="00E438BE">
              <w:rPr>
                <w:rFonts w:cstheme="minorHAnsi"/>
              </w:rPr>
              <w:t>.</w:t>
            </w:r>
            <w:r w:rsidR="00820CBC" w:rsidRPr="00E438BE">
              <w:rPr>
                <w:rFonts w:cstheme="minorHAnsi"/>
              </w:rPr>
              <w:t xml:space="preserve"> Sessions </w:t>
            </w:r>
            <w:r w:rsidRPr="00E438BE">
              <w:rPr>
                <w:rFonts w:cstheme="minorHAnsi"/>
              </w:rPr>
              <w:t>have also been</w:t>
            </w:r>
            <w:r w:rsidR="00820CBC" w:rsidRPr="00E438BE">
              <w:rPr>
                <w:rFonts w:cstheme="minorHAnsi"/>
              </w:rPr>
              <w:t xml:space="preserve"> </w:t>
            </w:r>
            <w:r w:rsidRPr="00E438BE">
              <w:rPr>
                <w:rFonts w:cstheme="minorHAnsi"/>
              </w:rPr>
              <w:t xml:space="preserve">offered to parents of PP pupils if requested </w:t>
            </w:r>
            <w:r w:rsidR="00820CBC" w:rsidRPr="00E438BE">
              <w:rPr>
                <w:rFonts w:cstheme="minorHAnsi"/>
              </w:rPr>
              <w:t xml:space="preserve">and </w:t>
            </w:r>
            <w:r w:rsidRPr="00E438BE">
              <w:rPr>
                <w:rFonts w:cstheme="minorHAnsi"/>
              </w:rPr>
              <w:t>have taken</w:t>
            </w:r>
            <w:r w:rsidR="00820CBC" w:rsidRPr="00E438BE">
              <w:rPr>
                <w:rFonts w:cstheme="minorHAnsi"/>
              </w:rPr>
              <w:t xml:space="preserve"> place remotely over the phone</w:t>
            </w:r>
            <w:r w:rsidR="00BB67A2" w:rsidRPr="00E438BE">
              <w:rPr>
                <w:rFonts w:cstheme="minorHAnsi"/>
              </w:rPr>
              <w:t>. Impact evidence for individual PP pupils will be available.</w:t>
            </w:r>
          </w:p>
        </w:tc>
      </w:tr>
      <w:tr w:rsidR="005B29BC" w:rsidRPr="00E438BE" w:rsidTr="00C71F42">
        <w:trPr>
          <w:trHeight w:val="1611"/>
        </w:trPr>
        <w:tc>
          <w:tcPr>
            <w:tcW w:w="1038" w:type="dxa"/>
            <w:shd w:val="clear" w:color="auto" w:fill="auto"/>
          </w:tcPr>
          <w:p w:rsidR="005B29BC" w:rsidRPr="00E438BE" w:rsidRDefault="005B29BC" w:rsidP="00760A21">
            <w:pPr>
              <w:jc w:val="center"/>
              <w:rPr>
                <w:rFonts w:cstheme="minorHAnsi"/>
                <w:sz w:val="20"/>
                <w:szCs w:val="20"/>
              </w:rPr>
            </w:pPr>
            <w:r w:rsidRPr="00E438BE">
              <w:rPr>
                <w:rFonts w:cstheme="minorHAnsi"/>
                <w:sz w:val="20"/>
                <w:szCs w:val="20"/>
              </w:rPr>
              <w:lastRenderedPageBreak/>
              <w:t>B</w:t>
            </w:r>
          </w:p>
        </w:tc>
        <w:tc>
          <w:tcPr>
            <w:tcW w:w="1179" w:type="dxa"/>
            <w:shd w:val="clear" w:color="auto" w:fill="auto"/>
          </w:tcPr>
          <w:p w:rsidR="005B29BC" w:rsidRPr="00E438BE" w:rsidRDefault="005D1064" w:rsidP="00760A21">
            <w:pPr>
              <w:rPr>
                <w:rFonts w:cstheme="minorHAnsi"/>
                <w:sz w:val="20"/>
                <w:szCs w:val="20"/>
              </w:rPr>
            </w:pPr>
            <w:r>
              <w:rPr>
                <w:rFonts w:cstheme="minorHAnsi"/>
                <w:sz w:val="20"/>
                <w:szCs w:val="20"/>
              </w:rPr>
              <w:t>£13680</w:t>
            </w:r>
          </w:p>
        </w:tc>
        <w:tc>
          <w:tcPr>
            <w:tcW w:w="1107" w:type="dxa"/>
            <w:shd w:val="clear" w:color="auto" w:fill="auto"/>
          </w:tcPr>
          <w:p w:rsidR="005B29BC" w:rsidRPr="00E438BE" w:rsidRDefault="00897F67" w:rsidP="00897F67">
            <w:pPr>
              <w:jc w:val="center"/>
              <w:rPr>
                <w:rFonts w:cstheme="minorHAnsi"/>
                <w:b/>
                <w:sz w:val="20"/>
                <w:szCs w:val="20"/>
              </w:rPr>
            </w:pPr>
            <w:r>
              <w:rPr>
                <w:rFonts w:cstheme="minorHAnsi"/>
                <w:b/>
                <w:sz w:val="20"/>
                <w:szCs w:val="20"/>
              </w:rPr>
              <w:t>£13150</w:t>
            </w:r>
          </w:p>
        </w:tc>
        <w:tc>
          <w:tcPr>
            <w:tcW w:w="1825" w:type="dxa"/>
            <w:shd w:val="clear" w:color="auto" w:fill="auto"/>
          </w:tcPr>
          <w:p w:rsidR="005B29BC" w:rsidRPr="00E438BE" w:rsidRDefault="005B29BC" w:rsidP="00760A21">
            <w:pPr>
              <w:rPr>
                <w:rFonts w:cstheme="minorHAnsi"/>
                <w:b/>
                <w:sz w:val="20"/>
                <w:szCs w:val="20"/>
              </w:rPr>
            </w:pPr>
            <w:r w:rsidRPr="00E438BE">
              <w:rPr>
                <w:rFonts w:cstheme="minorHAnsi"/>
                <w:b/>
                <w:sz w:val="20"/>
                <w:szCs w:val="20"/>
              </w:rPr>
              <w:t xml:space="preserve">Occupational Therapist </w:t>
            </w:r>
            <w:r w:rsidRPr="00E438BE">
              <w:rPr>
                <w:rFonts w:cstheme="minorHAnsi"/>
                <w:sz w:val="20"/>
                <w:szCs w:val="20"/>
              </w:rPr>
              <w:t>for one day per week</w:t>
            </w:r>
          </w:p>
        </w:tc>
        <w:tc>
          <w:tcPr>
            <w:tcW w:w="1843" w:type="dxa"/>
            <w:shd w:val="clear" w:color="auto" w:fill="auto"/>
          </w:tcPr>
          <w:p w:rsidR="005B29BC" w:rsidRPr="00E438BE" w:rsidRDefault="0078211F" w:rsidP="0078211F">
            <w:pPr>
              <w:pStyle w:val="NoSpacing"/>
              <w:rPr>
                <w:rFonts w:cstheme="minorHAnsi"/>
                <w:sz w:val="20"/>
                <w:szCs w:val="20"/>
              </w:rPr>
            </w:pPr>
            <w:r w:rsidRPr="00E438BE">
              <w:rPr>
                <w:rFonts w:cstheme="minorHAnsi"/>
                <w:sz w:val="20"/>
                <w:szCs w:val="20"/>
              </w:rPr>
              <w:t xml:space="preserve">All PP pupils with sensory issues, including initial full sensory assessments and report for Year 7 pupils </w:t>
            </w:r>
          </w:p>
        </w:tc>
        <w:tc>
          <w:tcPr>
            <w:tcW w:w="8080" w:type="dxa"/>
            <w:shd w:val="clear" w:color="auto" w:fill="auto"/>
          </w:tcPr>
          <w:p w:rsidR="00BB67A2" w:rsidRPr="00E438BE" w:rsidRDefault="005B29BC" w:rsidP="005D1064">
            <w:pPr>
              <w:pStyle w:val="NoSpacing"/>
              <w:rPr>
                <w:rFonts w:cstheme="minorHAnsi"/>
              </w:rPr>
            </w:pPr>
            <w:r w:rsidRPr="00E438BE">
              <w:rPr>
                <w:rFonts w:cstheme="minorHAnsi"/>
              </w:rPr>
              <w:t>OT spe</w:t>
            </w:r>
            <w:r w:rsidR="00413656" w:rsidRPr="00E438BE">
              <w:rPr>
                <w:rFonts w:cstheme="minorHAnsi"/>
              </w:rPr>
              <w:t xml:space="preserve">cialising in sensory needs has </w:t>
            </w:r>
            <w:r w:rsidRPr="00E438BE">
              <w:rPr>
                <w:rFonts w:cstheme="minorHAnsi"/>
              </w:rPr>
              <w:t>work</w:t>
            </w:r>
            <w:r w:rsidR="00413656" w:rsidRPr="00E438BE">
              <w:rPr>
                <w:rFonts w:cstheme="minorHAnsi"/>
              </w:rPr>
              <w:t>ed</w:t>
            </w:r>
            <w:r w:rsidRPr="00E438BE">
              <w:rPr>
                <w:rFonts w:cstheme="minorHAnsi"/>
              </w:rPr>
              <w:t xml:space="preserve"> with pupils using the ALERT programme</w:t>
            </w:r>
            <w:r w:rsidR="00BB67A2" w:rsidRPr="00E438BE">
              <w:rPr>
                <w:rFonts w:cstheme="minorHAnsi"/>
              </w:rPr>
              <w:t xml:space="preserve">. </w:t>
            </w:r>
            <w:r w:rsidR="00413656" w:rsidRPr="00E438BE">
              <w:rPr>
                <w:rFonts w:cstheme="minorHAnsi"/>
              </w:rPr>
              <w:t>Identified p</w:t>
            </w:r>
            <w:r w:rsidR="00BB67A2" w:rsidRPr="00E438BE">
              <w:rPr>
                <w:rFonts w:cstheme="minorHAnsi"/>
              </w:rPr>
              <w:t xml:space="preserve">upils have </w:t>
            </w:r>
            <w:r w:rsidR="00413656" w:rsidRPr="00E438BE">
              <w:rPr>
                <w:rFonts w:cstheme="minorHAnsi"/>
              </w:rPr>
              <w:t xml:space="preserve">had </w:t>
            </w:r>
            <w:r w:rsidR="00BB67A2" w:rsidRPr="00E438BE">
              <w:rPr>
                <w:rFonts w:cstheme="minorHAnsi"/>
              </w:rPr>
              <w:t>a full sensory assessment with a written report then provided for families advising on</w:t>
            </w:r>
            <w:r w:rsidR="005D1064">
              <w:rPr>
                <w:rFonts w:cstheme="minorHAnsi"/>
              </w:rPr>
              <w:t xml:space="preserve"> specific targets and resources</w:t>
            </w:r>
            <w:r w:rsidR="00BB67A2" w:rsidRPr="00E438BE">
              <w:rPr>
                <w:rFonts w:cstheme="minorHAnsi"/>
              </w:rPr>
              <w:t xml:space="preserve">. </w:t>
            </w:r>
            <w:r w:rsidR="0031614E" w:rsidRPr="00E438BE">
              <w:rPr>
                <w:rFonts w:cstheme="minorHAnsi"/>
              </w:rPr>
              <w:t xml:space="preserve">Resource materials have been emailed to parents where appropriate. </w:t>
            </w:r>
            <w:r w:rsidR="00BB67A2" w:rsidRPr="00E438BE">
              <w:rPr>
                <w:rFonts w:cstheme="minorHAnsi"/>
              </w:rPr>
              <w:t>Summary reports of progress available.</w:t>
            </w:r>
          </w:p>
        </w:tc>
      </w:tr>
      <w:tr w:rsidR="006236B4" w:rsidRPr="00E438BE" w:rsidTr="003A3D58">
        <w:trPr>
          <w:trHeight w:val="942"/>
        </w:trPr>
        <w:tc>
          <w:tcPr>
            <w:tcW w:w="1038" w:type="dxa"/>
            <w:shd w:val="clear" w:color="auto" w:fill="auto"/>
          </w:tcPr>
          <w:p w:rsidR="006236B4" w:rsidRPr="00E438BE" w:rsidRDefault="006236B4" w:rsidP="00760A21">
            <w:pPr>
              <w:jc w:val="center"/>
              <w:rPr>
                <w:rFonts w:cstheme="minorHAnsi"/>
                <w:sz w:val="20"/>
                <w:szCs w:val="20"/>
              </w:rPr>
            </w:pPr>
            <w:r w:rsidRPr="00E438BE">
              <w:rPr>
                <w:rFonts w:cstheme="minorHAnsi"/>
                <w:sz w:val="20"/>
                <w:szCs w:val="20"/>
              </w:rPr>
              <w:t>C</w:t>
            </w:r>
          </w:p>
        </w:tc>
        <w:tc>
          <w:tcPr>
            <w:tcW w:w="1179" w:type="dxa"/>
            <w:shd w:val="clear" w:color="auto" w:fill="auto"/>
          </w:tcPr>
          <w:p w:rsidR="009868CC" w:rsidRPr="00E438BE" w:rsidRDefault="005D1064" w:rsidP="00760A21">
            <w:pPr>
              <w:rPr>
                <w:rFonts w:cstheme="minorHAnsi"/>
                <w:sz w:val="20"/>
                <w:szCs w:val="20"/>
              </w:rPr>
            </w:pPr>
            <w:r>
              <w:rPr>
                <w:rFonts w:cstheme="minorHAnsi"/>
                <w:sz w:val="20"/>
                <w:szCs w:val="20"/>
              </w:rPr>
              <w:t>£9250</w:t>
            </w:r>
          </w:p>
        </w:tc>
        <w:tc>
          <w:tcPr>
            <w:tcW w:w="1107" w:type="dxa"/>
            <w:shd w:val="clear" w:color="auto" w:fill="auto"/>
          </w:tcPr>
          <w:p w:rsidR="006236B4" w:rsidRPr="00E438BE" w:rsidRDefault="009F676D" w:rsidP="00897F67">
            <w:pPr>
              <w:jc w:val="center"/>
              <w:rPr>
                <w:rFonts w:cstheme="minorHAnsi"/>
                <w:b/>
                <w:sz w:val="20"/>
                <w:szCs w:val="20"/>
              </w:rPr>
            </w:pPr>
            <w:r>
              <w:rPr>
                <w:rFonts w:cstheme="minorHAnsi"/>
                <w:b/>
                <w:sz w:val="20"/>
                <w:szCs w:val="20"/>
              </w:rPr>
              <w:t>£16,508</w:t>
            </w:r>
          </w:p>
        </w:tc>
        <w:tc>
          <w:tcPr>
            <w:tcW w:w="1825" w:type="dxa"/>
            <w:shd w:val="clear" w:color="auto" w:fill="auto"/>
          </w:tcPr>
          <w:p w:rsidR="006236B4" w:rsidRPr="00E438BE" w:rsidRDefault="006236B4" w:rsidP="00767BAC">
            <w:pPr>
              <w:pStyle w:val="NoSpacing"/>
              <w:rPr>
                <w:rFonts w:cstheme="minorHAnsi"/>
                <w:sz w:val="20"/>
                <w:szCs w:val="20"/>
              </w:rPr>
            </w:pPr>
            <w:r w:rsidRPr="00E438BE">
              <w:rPr>
                <w:rFonts w:cstheme="minorHAnsi"/>
                <w:b/>
                <w:sz w:val="20"/>
                <w:szCs w:val="20"/>
              </w:rPr>
              <w:t>Speech and Language Therapist</w:t>
            </w:r>
            <w:r w:rsidRPr="00E438BE">
              <w:rPr>
                <w:rFonts w:cstheme="minorHAnsi"/>
                <w:sz w:val="20"/>
                <w:szCs w:val="20"/>
              </w:rPr>
              <w:t xml:space="preserve"> employed for two days per week</w:t>
            </w:r>
          </w:p>
        </w:tc>
        <w:tc>
          <w:tcPr>
            <w:tcW w:w="1843" w:type="dxa"/>
            <w:shd w:val="clear" w:color="auto" w:fill="auto"/>
          </w:tcPr>
          <w:p w:rsidR="006236B4" w:rsidRPr="00E438BE" w:rsidRDefault="00577E2F" w:rsidP="00760A21">
            <w:pPr>
              <w:rPr>
                <w:rFonts w:cstheme="minorHAnsi"/>
                <w:sz w:val="20"/>
                <w:szCs w:val="20"/>
              </w:rPr>
            </w:pPr>
            <w:r w:rsidRPr="00E438BE">
              <w:rPr>
                <w:rFonts w:cstheme="minorHAnsi"/>
                <w:sz w:val="20"/>
                <w:szCs w:val="20"/>
              </w:rPr>
              <w:t xml:space="preserve">All </w:t>
            </w:r>
            <w:r w:rsidR="006236B4" w:rsidRPr="00E438BE">
              <w:rPr>
                <w:rFonts w:cstheme="minorHAnsi"/>
                <w:sz w:val="20"/>
                <w:szCs w:val="20"/>
              </w:rPr>
              <w:t>PP</w:t>
            </w:r>
            <w:r w:rsidRPr="00E438BE">
              <w:rPr>
                <w:rFonts w:cstheme="minorHAnsi"/>
                <w:sz w:val="20"/>
                <w:szCs w:val="20"/>
              </w:rPr>
              <w:t xml:space="preserve"> pupils with identified Speech, Language and Communication needs (SLCN)</w:t>
            </w:r>
          </w:p>
          <w:p w:rsidR="006236B4" w:rsidRPr="00E438BE" w:rsidRDefault="006236B4" w:rsidP="00760A21">
            <w:pPr>
              <w:rPr>
                <w:rFonts w:cstheme="minorHAnsi"/>
                <w:sz w:val="20"/>
                <w:szCs w:val="20"/>
              </w:rPr>
            </w:pPr>
          </w:p>
        </w:tc>
        <w:tc>
          <w:tcPr>
            <w:tcW w:w="8080" w:type="dxa"/>
            <w:shd w:val="clear" w:color="auto" w:fill="auto"/>
          </w:tcPr>
          <w:p w:rsidR="006236B4" w:rsidRPr="00E438BE" w:rsidRDefault="00E5433B" w:rsidP="005D1064">
            <w:pPr>
              <w:pStyle w:val="NoSpacing"/>
              <w:rPr>
                <w:rFonts w:cstheme="minorHAnsi"/>
              </w:rPr>
            </w:pPr>
            <w:r w:rsidRPr="00E438BE">
              <w:rPr>
                <w:rFonts w:cstheme="minorHAnsi"/>
              </w:rPr>
              <w:t>A</w:t>
            </w:r>
            <w:r w:rsidR="006236B4" w:rsidRPr="00E438BE">
              <w:rPr>
                <w:rFonts w:cstheme="minorHAnsi"/>
              </w:rPr>
              <w:t xml:space="preserve">ccess to specialist SALT support (2 days per week) </w:t>
            </w:r>
            <w:r w:rsidR="00EC1D90" w:rsidRPr="00E438BE">
              <w:rPr>
                <w:rFonts w:cstheme="minorHAnsi"/>
              </w:rPr>
              <w:t xml:space="preserve">and follow up HLTA support (including social stories) </w:t>
            </w:r>
            <w:r w:rsidR="0031614E" w:rsidRPr="00E438BE">
              <w:rPr>
                <w:rFonts w:cstheme="minorHAnsi"/>
              </w:rPr>
              <w:t>has</w:t>
            </w:r>
            <w:r w:rsidR="006236B4" w:rsidRPr="00E438BE">
              <w:rPr>
                <w:rFonts w:cstheme="minorHAnsi"/>
              </w:rPr>
              <w:t xml:space="preserve"> enable</w:t>
            </w:r>
            <w:r w:rsidR="0031614E" w:rsidRPr="00E438BE">
              <w:rPr>
                <w:rFonts w:cstheme="minorHAnsi"/>
              </w:rPr>
              <w:t>d</w:t>
            </w:r>
            <w:r w:rsidR="006236B4" w:rsidRPr="00E438BE">
              <w:rPr>
                <w:rFonts w:cstheme="minorHAnsi"/>
              </w:rPr>
              <w:t xml:space="preserve"> more pupils to develop ability and more confidence in speaking in groups and in 1-1 situations. Individual </w:t>
            </w:r>
            <w:r w:rsidR="008E6B55" w:rsidRPr="00E438BE">
              <w:rPr>
                <w:rFonts w:cstheme="minorHAnsi"/>
              </w:rPr>
              <w:t>baseline Language S</w:t>
            </w:r>
            <w:r w:rsidR="0031614E" w:rsidRPr="00E438BE">
              <w:rPr>
                <w:rFonts w:cstheme="minorHAnsi"/>
              </w:rPr>
              <w:t xml:space="preserve">creen reports have been </w:t>
            </w:r>
            <w:r w:rsidR="00EC1D90" w:rsidRPr="00E438BE">
              <w:rPr>
                <w:rFonts w:cstheme="minorHAnsi"/>
              </w:rPr>
              <w:t xml:space="preserve">carried out for all new Y7 </w:t>
            </w:r>
            <w:r w:rsidR="008E6B55" w:rsidRPr="00E438BE">
              <w:rPr>
                <w:rFonts w:cstheme="minorHAnsi"/>
              </w:rPr>
              <w:t xml:space="preserve">PP </w:t>
            </w:r>
            <w:r w:rsidR="00EC1D90" w:rsidRPr="00E438BE">
              <w:rPr>
                <w:rFonts w:cstheme="minorHAnsi"/>
              </w:rPr>
              <w:t xml:space="preserve">pupils and for those accessing </w:t>
            </w:r>
            <w:proofErr w:type="spellStart"/>
            <w:r w:rsidR="00EC1D90" w:rsidRPr="00E438BE">
              <w:rPr>
                <w:rFonts w:cstheme="minorHAnsi"/>
              </w:rPr>
              <w:t>SaLT</w:t>
            </w:r>
            <w:proofErr w:type="spellEnd"/>
            <w:r w:rsidR="00EC1D90" w:rsidRPr="00E438BE">
              <w:rPr>
                <w:rFonts w:cstheme="minorHAnsi"/>
              </w:rPr>
              <w:t xml:space="preserve"> support for the first time. P</w:t>
            </w:r>
            <w:r w:rsidR="006236B4" w:rsidRPr="00E438BE">
              <w:rPr>
                <w:rFonts w:cstheme="minorHAnsi"/>
              </w:rPr>
              <w:t xml:space="preserve">rogress reports </w:t>
            </w:r>
            <w:r w:rsidR="0031614E" w:rsidRPr="00E438BE">
              <w:rPr>
                <w:rFonts w:cstheme="minorHAnsi"/>
              </w:rPr>
              <w:t xml:space="preserve">provided for annual reviews and PEP meetings. </w:t>
            </w:r>
            <w:r w:rsidR="006236B4" w:rsidRPr="00E438BE">
              <w:rPr>
                <w:rFonts w:cstheme="minorHAnsi"/>
              </w:rPr>
              <w:t xml:space="preserve">HLTA </w:t>
            </w:r>
            <w:r w:rsidR="0031614E" w:rsidRPr="00E438BE">
              <w:rPr>
                <w:rFonts w:cstheme="minorHAnsi"/>
              </w:rPr>
              <w:t>has</w:t>
            </w:r>
            <w:r w:rsidR="006236B4" w:rsidRPr="00E438BE">
              <w:rPr>
                <w:rFonts w:cstheme="minorHAnsi"/>
              </w:rPr>
              <w:t xml:space="preserve"> further developed own skills enabling the SLCN support and strategies to continue throughout the week. </w:t>
            </w:r>
          </w:p>
        </w:tc>
      </w:tr>
      <w:tr w:rsidR="0078211F" w:rsidRPr="00E438BE" w:rsidTr="00A06D87">
        <w:trPr>
          <w:trHeight w:val="1611"/>
        </w:trPr>
        <w:tc>
          <w:tcPr>
            <w:tcW w:w="1038" w:type="dxa"/>
            <w:shd w:val="clear" w:color="auto" w:fill="auto"/>
          </w:tcPr>
          <w:p w:rsidR="0078211F" w:rsidRPr="00E438BE" w:rsidRDefault="005D1064" w:rsidP="00A06D87">
            <w:pPr>
              <w:jc w:val="center"/>
              <w:rPr>
                <w:rFonts w:cstheme="minorHAnsi"/>
                <w:sz w:val="20"/>
                <w:szCs w:val="20"/>
              </w:rPr>
            </w:pPr>
            <w:r>
              <w:rPr>
                <w:rFonts w:cstheme="minorHAnsi"/>
                <w:sz w:val="20"/>
                <w:szCs w:val="20"/>
              </w:rPr>
              <w:t>A,B,C</w:t>
            </w:r>
          </w:p>
        </w:tc>
        <w:tc>
          <w:tcPr>
            <w:tcW w:w="1179" w:type="dxa"/>
            <w:shd w:val="clear" w:color="auto" w:fill="auto"/>
          </w:tcPr>
          <w:p w:rsidR="0078211F" w:rsidRPr="00E438BE" w:rsidRDefault="005D1064" w:rsidP="00A06D87">
            <w:pPr>
              <w:rPr>
                <w:rFonts w:cstheme="minorHAnsi"/>
                <w:sz w:val="20"/>
                <w:szCs w:val="20"/>
              </w:rPr>
            </w:pPr>
            <w:r>
              <w:rPr>
                <w:rFonts w:cstheme="minorHAnsi"/>
                <w:sz w:val="20"/>
                <w:szCs w:val="20"/>
              </w:rPr>
              <w:t>£4500</w:t>
            </w:r>
          </w:p>
        </w:tc>
        <w:tc>
          <w:tcPr>
            <w:tcW w:w="1107" w:type="dxa"/>
            <w:shd w:val="clear" w:color="auto" w:fill="auto"/>
          </w:tcPr>
          <w:p w:rsidR="0078211F" w:rsidRPr="00E438BE" w:rsidRDefault="00382D46" w:rsidP="009F676D">
            <w:pPr>
              <w:jc w:val="center"/>
              <w:rPr>
                <w:rFonts w:cstheme="minorHAnsi"/>
                <w:b/>
                <w:sz w:val="20"/>
                <w:szCs w:val="20"/>
              </w:rPr>
            </w:pPr>
            <w:r>
              <w:rPr>
                <w:rFonts w:cstheme="minorHAnsi"/>
                <w:b/>
                <w:sz w:val="20"/>
                <w:szCs w:val="20"/>
              </w:rPr>
              <w:t>£2654</w:t>
            </w:r>
          </w:p>
        </w:tc>
        <w:tc>
          <w:tcPr>
            <w:tcW w:w="1825" w:type="dxa"/>
            <w:shd w:val="clear" w:color="auto" w:fill="auto"/>
          </w:tcPr>
          <w:p w:rsidR="0078211F" w:rsidRPr="00E438BE" w:rsidRDefault="0078211F" w:rsidP="00A06D87">
            <w:pPr>
              <w:rPr>
                <w:rFonts w:cstheme="minorHAnsi"/>
                <w:b/>
                <w:sz w:val="20"/>
                <w:szCs w:val="20"/>
              </w:rPr>
            </w:pPr>
            <w:r w:rsidRPr="00E438BE">
              <w:rPr>
                <w:rFonts w:cstheme="minorHAnsi"/>
                <w:b/>
                <w:sz w:val="20"/>
                <w:szCs w:val="20"/>
              </w:rPr>
              <w:t xml:space="preserve">Towards the cost of the Emotion Coach/Family Link role </w:t>
            </w:r>
            <w:r w:rsidRPr="00E438BE">
              <w:rPr>
                <w:rFonts w:cstheme="minorHAnsi"/>
                <w:sz w:val="20"/>
                <w:szCs w:val="20"/>
              </w:rPr>
              <w:t>(resources, personalised interventions and training)</w:t>
            </w:r>
          </w:p>
        </w:tc>
        <w:tc>
          <w:tcPr>
            <w:tcW w:w="1843" w:type="dxa"/>
            <w:shd w:val="clear" w:color="auto" w:fill="auto"/>
          </w:tcPr>
          <w:p w:rsidR="0078211F" w:rsidRPr="00E438BE" w:rsidRDefault="0078211F" w:rsidP="00A06D87">
            <w:pPr>
              <w:pStyle w:val="NoSpacing"/>
              <w:rPr>
                <w:rFonts w:cstheme="minorHAnsi"/>
                <w:sz w:val="20"/>
                <w:szCs w:val="20"/>
              </w:rPr>
            </w:pPr>
            <w:r w:rsidRPr="00E438BE">
              <w:rPr>
                <w:rFonts w:cstheme="minorHAnsi"/>
                <w:sz w:val="20"/>
                <w:szCs w:val="20"/>
              </w:rPr>
              <w:t xml:space="preserve">All PP pupils with high anxiety levels (often ASC related) in need of emotional support.    </w:t>
            </w:r>
          </w:p>
        </w:tc>
        <w:tc>
          <w:tcPr>
            <w:tcW w:w="8080" w:type="dxa"/>
            <w:shd w:val="clear" w:color="auto" w:fill="auto"/>
          </w:tcPr>
          <w:p w:rsidR="0078211F" w:rsidRPr="00E438BE" w:rsidRDefault="0031614E" w:rsidP="005D1064">
            <w:pPr>
              <w:pStyle w:val="NoSpacing"/>
              <w:rPr>
                <w:rFonts w:cstheme="minorHAnsi"/>
              </w:rPr>
            </w:pPr>
            <w:r w:rsidRPr="00E438BE">
              <w:rPr>
                <w:rFonts w:cstheme="minorHAnsi"/>
              </w:rPr>
              <w:t>Our Emotion Coach has completed</w:t>
            </w:r>
            <w:r w:rsidR="00E5433B" w:rsidRPr="00E438BE">
              <w:rPr>
                <w:rFonts w:cstheme="minorHAnsi"/>
              </w:rPr>
              <w:t xml:space="preserve"> Mental Health First Aid</w:t>
            </w:r>
            <w:r w:rsidRPr="00E438BE">
              <w:rPr>
                <w:rFonts w:cstheme="minorHAnsi"/>
              </w:rPr>
              <w:t xml:space="preserve"> training to further develop her role and is now implementing skills and strategies learned from this to the benefit of our pupils. Emotion coaching sessions have </w:t>
            </w:r>
            <w:r w:rsidR="0078211F" w:rsidRPr="00E438BE">
              <w:rPr>
                <w:rFonts w:cstheme="minorHAnsi"/>
              </w:rPr>
              <w:t>work</w:t>
            </w:r>
            <w:r w:rsidRPr="00E438BE">
              <w:rPr>
                <w:rFonts w:cstheme="minorHAnsi"/>
              </w:rPr>
              <w:t>ed</w:t>
            </w:r>
            <w:r w:rsidR="0078211F" w:rsidRPr="00E438BE">
              <w:rPr>
                <w:rFonts w:cstheme="minorHAnsi"/>
              </w:rPr>
              <w:t xml:space="preserve"> on personalised programmes helping to reduce ASC related anxiety and improve individual pupil’s ability to manage own emotions, anger and behaviour. </w:t>
            </w:r>
            <w:r w:rsidR="00E5433B" w:rsidRPr="00E438BE">
              <w:rPr>
                <w:rFonts w:cstheme="minorHAnsi"/>
              </w:rPr>
              <w:t xml:space="preserve">Wider support for families as a result of issues relating to </w:t>
            </w:r>
            <w:r w:rsidR="005D1064">
              <w:rPr>
                <w:rFonts w:cstheme="minorHAnsi"/>
              </w:rPr>
              <w:t>trauma/</w:t>
            </w:r>
            <w:r w:rsidRPr="00E438BE">
              <w:rPr>
                <w:rFonts w:cstheme="minorHAnsi"/>
              </w:rPr>
              <w:t>bereavement</w:t>
            </w:r>
            <w:r w:rsidR="00E5433B" w:rsidRPr="00E438BE">
              <w:rPr>
                <w:rFonts w:cstheme="minorHAnsi"/>
              </w:rPr>
              <w:t xml:space="preserve">. </w:t>
            </w:r>
            <w:r w:rsidR="0078211F" w:rsidRPr="00E438BE">
              <w:rPr>
                <w:rFonts w:cstheme="minorHAnsi"/>
              </w:rPr>
              <w:t>Personalised case studies will show evidence of impact, including a reduction in incidents with improved behaviour, self-esteem, emotional wellbeing</w:t>
            </w:r>
            <w:r w:rsidR="008517EC" w:rsidRPr="00E438BE">
              <w:rPr>
                <w:rFonts w:cstheme="minorHAnsi"/>
              </w:rPr>
              <w:t xml:space="preserve">, </w:t>
            </w:r>
            <w:r w:rsidR="0078211F" w:rsidRPr="00E438BE">
              <w:rPr>
                <w:rFonts w:cstheme="minorHAnsi"/>
              </w:rPr>
              <w:t>readiness to learn</w:t>
            </w:r>
            <w:r w:rsidR="008517EC" w:rsidRPr="00E438BE">
              <w:rPr>
                <w:rFonts w:cstheme="minorHAnsi"/>
              </w:rPr>
              <w:t xml:space="preserve"> and reduced anxiety in the home</w:t>
            </w:r>
            <w:r w:rsidR="00382D46">
              <w:rPr>
                <w:rFonts w:cstheme="minorHAnsi"/>
              </w:rPr>
              <w:t>.</w:t>
            </w:r>
          </w:p>
        </w:tc>
      </w:tr>
      <w:tr w:rsidR="006236B4" w:rsidRPr="00E438BE" w:rsidTr="00C71F42">
        <w:trPr>
          <w:trHeight w:val="1603"/>
        </w:trPr>
        <w:tc>
          <w:tcPr>
            <w:tcW w:w="1038" w:type="dxa"/>
            <w:shd w:val="clear" w:color="auto" w:fill="auto"/>
          </w:tcPr>
          <w:p w:rsidR="006236B4" w:rsidRPr="00E438BE" w:rsidRDefault="00A671DC" w:rsidP="00760A21">
            <w:pPr>
              <w:jc w:val="center"/>
              <w:rPr>
                <w:rFonts w:cstheme="minorHAnsi"/>
                <w:sz w:val="20"/>
                <w:szCs w:val="20"/>
              </w:rPr>
            </w:pPr>
            <w:r>
              <w:rPr>
                <w:rFonts w:cstheme="minorHAnsi"/>
                <w:sz w:val="20"/>
                <w:szCs w:val="20"/>
              </w:rPr>
              <w:t>E</w:t>
            </w:r>
          </w:p>
        </w:tc>
        <w:tc>
          <w:tcPr>
            <w:tcW w:w="1179" w:type="dxa"/>
            <w:shd w:val="clear" w:color="auto" w:fill="auto"/>
          </w:tcPr>
          <w:p w:rsidR="006236B4" w:rsidRPr="00E438BE" w:rsidRDefault="00A671DC" w:rsidP="005D1064">
            <w:pPr>
              <w:rPr>
                <w:rFonts w:cstheme="minorHAnsi"/>
                <w:sz w:val="20"/>
                <w:szCs w:val="20"/>
              </w:rPr>
            </w:pPr>
            <w:r>
              <w:rPr>
                <w:rFonts w:cstheme="minorHAnsi"/>
                <w:sz w:val="20"/>
                <w:szCs w:val="20"/>
              </w:rPr>
              <w:t>£2500</w:t>
            </w:r>
          </w:p>
        </w:tc>
        <w:tc>
          <w:tcPr>
            <w:tcW w:w="1107" w:type="dxa"/>
            <w:shd w:val="clear" w:color="auto" w:fill="auto"/>
          </w:tcPr>
          <w:p w:rsidR="006236B4" w:rsidRPr="00E438BE" w:rsidRDefault="009F676D" w:rsidP="009F676D">
            <w:pPr>
              <w:jc w:val="center"/>
              <w:rPr>
                <w:rFonts w:cstheme="minorHAnsi"/>
                <w:b/>
                <w:sz w:val="20"/>
                <w:szCs w:val="20"/>
              </w:rPr>
            </w:pPr>
            <w:r>
              <w:rPr>
                <w:rFonts w:cstheme="minorHAnsi"/>
                <w:b/>
                <w:sz w:val="20"/>
                <w:szCs w:val="20"/>
              </w:rPr>
              <w:t>£2979</w:t>
            </w:r>
          </w:p>
          <w:p w:rsidR="003A3D58" w:rsidRPr="00E438BE" w:rsidRDefault="003A3D58" w:rsidP="00760A21">
            <w:pPr>
              <w:rPr>
                <w:rFonts w:cstheme="minorHAnsi"/>
                <w:b/>
                <w:sz w:val="20"/>
                <w:szCs w:val="20"/>
              </w:rPr>
            </w:pPr>
          </w:p>
        </w:tc>
        <w:tc>
          <w:tcPr>
            <w:tcW w:w="1825" w:type="dxa"/>
            <w:shd w:val="clear" w:color="auto" w:fill="auto"/>
          </w:tcPr>
          <w:p w:rsidR="006236B4" w:rsidRPr="00E438BE" w:rsidRDefault="00A671DC" w:rsidP="00760A21">
            <w:pPr>
              <w:rPr>
                <w:rFonts w:cstheme="minorHAnsi"/>
                <w:sz w:val="20"/>
                <w:szCs w:val="20"/>
              </w:rPr>
            </w:pPr>
            <w:r>
              <w:rPr>
                <w:rFonts w:cstheme="minorHAnsi"/>
                <w:b/>
                <w:sz w:val="20"/>
                <w:szCs w:val="20"/>
              </w:rPr>
              <w:t xml:space="preserve">Developing new </w:t>
            </w:r>
            <w:r w:rsidR="00FC2C63">
              <w:rPr>
                <w:rFonts w:cstheme="minorHAnsi"/>
                <w:b/>
                <w:sz w:val="20"/>
                <w:szCs w:val="20"/>
              </w:rPr>
              <w:t>key skills programme through in-</w:t>
            </w:r>
            <w:r>
              <w:rPr>
                <w:rFonts w:cstheme="minorHAnsi"/>
                <w:b/>
                <w:sz w:val="20"/>
                <w:szCs w:val="20"/>
              </w:rPr>
              <w:t>school and after school activities</w:t>
            </w:r>
          </w:p>
          <w:p w:rsidR="00045F26" w:rsidRPr="00E438BE" w:rsidRDefault="00045F26" w:rsidP="008E6B55">
            <w:pPr>
              <w:rPr>
                <w:rFonts w:cstheme="minorHAnsi"/>
                <w:sz w:val="20"/>
                <w:szCs w:val="20"/>
              </w:rPr>
            </w:pPr>
          </w:p>
        </w:tc>
        <w:tc>
          <w:tcPr>
            <w:tcW w:w="1843" w:type="dxa"/>
            <w:shd w:val="clear" w:color="auto" w:fill="auto"/>
          </w:tcPr>
          <w:p w:rsidR="006236B4" w:rsidRPr="00E438BE" w:rsidRDefault="006236B4" w:rsidP="00A671DC">
            <w:pPr>
              <w:pStyle w:val="NoSpacing"/>
              <w:rPr>
                <w:rFonts w:cstheme="minorHAnsi"/>
                <w:sz w:val="20"/>
                <w:szCs w:val="20"/>
              </w:rPr>
            </w:pPr>
            <w:r w:rsidRPr="00E438BE">
              <w:rPr>
                <w:rFonts w:cstheme="minorHAnsi"/>
                <w:sz w:val="20"/>
                <w:szCs w:val="20"/>
              </w:rPr>
              <w:t xml:space="preserve">All </w:t>
            </w:r>
            <w:proofErr w:type="spellStart"/>
            <w:r w:rsidR="00A671DC">
              <w:rPr>
                <w:rFonts w:cstheme="minorHAnsi"/>
                <w:sz w:val="20"/>
                <w:szCs w:val="20"/>
              </w:rPr>
              <w:t>Yr</w:t>
            </w:r>
            <w:proofErr w:type="spellEnd"/>
            <w:r w:rsidR="00A671DC">
              <w:rPr>
                <w:rFonts w:cstheme="minorHAnsi"/>
                <w:sz w:val="20"/>
                <w:szCs w:val="20"/>
              </w:rPr>
              <w:t xml:space="preserve"> 7-11 PP</w:t>
            </w:r>
          </w:p>
        </w:tc>
        <w:tc>
          <w:tcPr>
            <w:tcW w:w="8080" w:type="dxa"/>
            <w:shd w:val="clear" w:color="auto" w:fill="auto"/>
          </w:tcPr>
          <w:p w:rsidR="00FC2C63" w:rsidRDefault="00FC2C63" w:rsidP="007267BC">
            <w:pPr>
              <w:pStyle w:val="NoSpacing"/>
              <w:rPr>
                <w:rFonts w:cstheme="minorHAnsi"/>
              </w:rPr>
            </w:pPr>
            <w:r>
              <w:rPr>
                <w:rFonts w:cstheme="minorHAnsi"/>
              </w:rPr>
              <w:t xml:space="preserve">Staff training completed over the course of the year for Essential Skills so that staff were able to develop pupils. Digital package purchased to help provide resources for pupils. Enrichment sessions included development of the vocational curriculum including developing garden and outdoor sensory areas to support emotional well-being and at the same time facilitate essential skills such as teamwork, creativity and speaking and listening. Tracking </w:t>
            </w:r>
            <w:r w:rsidR="00897F67">
              <w:rPr>
                <w:rFonts w:cstheme="minorHAnsi"/>
              </w:rPr>
              <w:t xml:space="preserve">of pupil essential skills via ‘I </w:t>
            </w:r>
            <w:r>
              <w:rPr>
                <w:rFonts w:cstheme="minorHAnsi"/>
              </w:rPr>
              <w:t>can’ statements demonstrate evidence of impact. Case study on Skills Builder Partnership website.</w:t>
            </w:r>
          </w:p>
          <w:p w:rsidR="006236B4" w:rsidRPr="00E438BE" w:rsidRDefault="00897F67" w:rsidP="007267BC">
            <w:pPr>
              <w:pStyle w:val="NoSpacing"/>
              <w:rPr>
                <w:rFonts w:cstheme="minorHAnsi"/>
              </w:rPr>
            </w:pPr>
            <w:r>
              <w:rPr>
                <w:rFonts w:cstheme="minorHAnsi"/>
              </w:rPr>
              <w:t>Everton in the Community after school club.</w:t>
            </w:r>
          </w:p>
        </w:tc>
      </w:tr>
      <w:tr w:rsidR="00352ABD" w:rsidRPr="00E438BE" w:rsidTr="00C71F42">
        <w:tc>
          <w:tcPr>
            <w:tcW w:w="1038" w:type="dxa"/>
            <w:shd w:val="clear" w:color="auto" w:fill="auto"/>
          </w:tcPr>
          <w:p w:rsidR="00352ABD" w:rsidRPr="00E438BE" w:rsidRDefault="00A671DC" w:rsidP="00760A21">
            <w:pPr>
              <w:jc w:val="center"/>
              <w:rPr>
                <w:rFonts w:cstheme="minorHAnsi"/>
                <w:sz w:val="20"/>
                <w:szCs w:val="20"/>
              </w:rPr>
            </w:pPr>
            <w:r>
              <w:rPr>
                <w:rFonts w:cstheme="minorHAnsi"/>
                <w:sz w:val="20"/>
                <w:szCs w:val="20"/>
              </w:rPr>
              <w:t>A,B</w:t>
            </w:r>
          </w:p>
        </w:tc>
        <w:tc>
          <w:tcPr>
            <w:tcW w:w="1179" w:type="dxa"/>
            <w:shd w:val="clear" w:color="auto" w:fill="auto"/>
          </w:tcPr>
          <w:p w:rsidR="00EB15A5" w:rsidRPr="00E438BE" w:rsidRDefault="0078211F" w:rsidP="00A671DC">
            <w:pPr>
              <w:rPr>
                <w:rFonts w:cstheme="minorHAnsi"/>
                <w:sz w:val="20"/>
                <w:szCs w:val="20"/>
              </w:rPr>
            </w:pPr>
            <w:r w:rsidRPr="00E438BE">
              <w:rPr>
                <w:rFonts w:cstheme="minorHAnsi"/>
                <w:sz w:val="20"/>
                <w:szCs w:val="20"/>
              </w:rPr>
              <w:t>£</w:t>
            </w:r>
            <w:r w:rsidR="00A671DC">
              <w:rPr>
                <w:rFonts w:cstheme="minorHAnsi"/>
                <w:sz w:val="20"/>
                <w:szCs w:val="20"/>
              </w:rPr>
              <w:t>1300</w:t>
            </w:r>
          </w:p>
        </w:tc>
        <w:tc>
          <w:tcPr>
            <w:tcW w:w="1107" w:type="dxa"/>
            <w:shd w:val="clear" w:color="auto" w:fill="auto"/>
          </w:tcPr>
          <w:p w:rsidR="00352ABD" w:rsidRPr="00E438BE" w:rsidRDefault="003A3D58" w:rsidP="00760A21">
            <w:pPr>
              <w:rPr>
                <w:rFonts w:cstheme="minorHAnsi"/>
                <w:b/>
                <w:sz w:val="20"/>
                <w:szCs w:val="20"/>
              </w:rPr>
            </w:pPr>
            <w:r w:rsidRPr="00E438BE">
              <w:rPr>
                <w:rFonts w:cstheme="minorHAnsi"/>
                <w:b/>
                <w:sz w:val="20"/>
                <w:szCs w:val="20"/>
              </w:rPr>
              <w:t>£2352</w:t>
            </w:r>
          </w:p>
        </w:tc>
        <w:tc>
          <w:tcPr>
            <w:tcW w:w="1825" w:type="dxa"/>
            <w:shd w:val="clear" w:color="auto" w:fill="auto"/>
          </w:tcPr>
          <w:p w:rsidR="00352ABD" w:rsidRPr="00A671DC" w:rsidRDefault="00A671DC" w:rsidP="00A671DC">
            <w:pPr>
              <w:pStyle w:val="NoSpacing"/>
              <w:rPr>
                <w:rFonts w:cstheme="minorHAnsi"/>
                <w:b/>
                <w:sz w:val="20"/>
                <w:szCs w:val="20"/>
              </w:rPr>
            </w:pPr>
            <w:r>
              <w:rPr>
                <w:rFonts w:cstheme="minorHAnsi"/>
                <w:b/>
                <w:sz w:val="20"/>
                <w:szCs w:val="20"/>
              </w:rPr>
              <w:t>Staff Training</w:t>
            </w:r>
          </w:p>
        </w:tc>
        <w:tc>
          <w:tcPr>
            <w:tcW w:w="1843" w:type="dxa"/>
            <w:shd w:val="clear" w:color="auto" w:fill="auto"/>
          </w:tcPr>
          <w:p w:rsidR="00352ABD" w:rsidRPr="00E438BE" w:rsidRDefault="0039240C" w:rsidP="0084550B">
            <w:pPr>
              <w:pStyle w:val="NoSpacing"/>
              <w:rPr>
                <w:rFonts w:cstheme="minorHAnsi"/>
                <w:sz w:val="20"/>
                <w:szCs w:val="20"/>
              </w:rPr>
            </w:pPr>
            <w:r w:rsidRPr="00E438BE">
              <w:rPr>
                <w:rFonts w:cstheme="minorHAnsi"/>
                <w:sz w:val="20"/>
                <w:szCs w:val="20"/>
              </w:rPr>
              <w:t>F</w:t>
            </w:r>
            <w:r w:rsidR="0078211F" w:rsidRPr="00E438BE">
              <w:rPr>
                <w:rFonts w:cstheme="minorHAnsi"/>
                <w:sz w:val="20"/>
                <w:szCs w:val="20"/>
              </w:rPr>
              <w:t>or Year 7-11</w:t>
            </w:r>
            <w:r w:rsidR="00352ABD" w:rsidRPr="00E438BE">
              <w:rPr>
                <w:rFonts w:cstheme="minorHAnsi"/>
                <w:sz w:val="20"/>
                <w:szCs w:val="20"/>
              </w:rPr>
              <w:t xml:space="preserve"> PP pupils</w:t>
            </w:r>
          </w:p>
        </w:tc>
        <w:tc>
          <w:tcPr>
            <w:tcW w:w="8080" w:type="dxa"/>
            <w:shd w:val="clear" w:color="auto" w:fill="auto"/>
          </w:tcPr>
          <w:p w:rsidR="00A671DC" w:rsidRPr="00897F67" w:rsidRDefault="00A671DC" w:rsidP="00A671DC">
            <w:pPr>
              <w:pStyle w:val="NoSpacing"/>
              <w:rPr>
                <w:rFonts w:cstheme="minorHAnsi"/>
              </w:rPr>
            </w:pPr>
            <w:r w:rsidRPr="00897F67">
              <w:rPr>
                <w:rFonts w:cstheme="minorHAnsi"/>
              </w:rPr>
              <w:t>Brooks Sexual Behaviour Training for all staff (linked to safeguarding requirements).</w:t>
            </w:r>
          </w:p>
          <w:p w:rsidR="00A671DC" w:rsidRPr="00897F67" w:rsidRDefault="00A671DC" w:rsidP="00A671DC">
            <w:pPr>
              <w:pStyle w:val="NoSpacing"/>
              <w:rPr>
                <w:rFonts w:cstheme="minorHAnsi"/>
              </w:rPr>
            </w:pPr>
            <w:r w:rsidRPr="00897F67">
              <w:rPr>
                <w:rFonts w:cstheme="minorHAnsi"/>
              </w:rPr>
              <w:t>Training directly addressed young people’s needs around relationships and sex and ensured a deeper knowledge on key subjects for staff. Staff feel that they now have more guidance on how</w:t>
            </w:r>
            <w:r w:rsidRPr="00A671DC">
              <w:rPr>
                <w:rFonts w:cstheme="minorHAnsi"/>
                <w:sz w:val="20"/>
                <w:szCs w:val="20"/>
              </w:rPr>
              <w:t xml:space="preserve"> to challenge discrimination around sexuality, race and disability</w:t>
            </w:r>
            <w:r w:rsidR="00720AE6">
              <w:rPr>
                <w:rFonts w:cstheme="minorHAnsi"/>
                <w:sz w:val="20"/>
                <w:szCs w:val="20"/>
              </w:rPr>
              <w:t xml:space="preserve">. The </w:t>
            </w:r>
            <w:r w:rsidR="00720AE6" w:rsidRPr="00897F67">
              <w:rPr>
                <w:rFonts w:cstheme="minorHAnsi"/>
              </w:rPr>
              <w:lastRenderedPageBreak/>
              <w:t xml:space="preserve">tool has been used to identify agencies that can offer support and help such as CAMHs, </w:t>
            </w:r>
            <w:proofErr w:type="spellStart"/>
            <w:r w:rsidR="00720AE6" w:rsidRPr="00897F67">
              <w:rPr>
                <w:rFonts w:cstheme="minorHAnsi"/>
              </w:rPr>
              <w:t>Kooth</w:t>
            </w:r>
            <w:proofErr w:type="spellEnd"/>
            <w:r w:rsidR="00720AE6" w:rsidRPr="00897F67">
              <w:rPr>
                <w:rFonts w:cstheme="minorHAnsi"/>
              </w:rPr>
              <w:t xml:space="preserve"> and our own internal therapists. </w:t>
            </w:r>
          </w:p>
          <w:p w:rsidR="00352ABD" w:rsidRPr="00720AE6" w:rsidRDefault="00720AE6" w:rsidP="00720AE6">
            <w:pPr>
              <w:pStyle w:val="NoSpacing"/>
              <w:rPr>
                <w:rFonts w:cstheme="minorHAnsi"/>
                <w:sz w:val="20"/>
                <w:szCs w:val="20"/>
              </w:rPr>
            </w:pPr>
            <w:r w:rsidRPr="00897F67">
              <w:rPr>
                <w:rFonts w:cstheme="minorHAnsi"/>
              </w:rPr>
              <w:t>Two staff have been trained as Mental Health First Aiders. These staff are now able to identify and support the most commonly diagnosed mental health conditions and offer personalised support using the resources provided. Evidence of impact is found in case studies and emotional support records.</w:t>
            </w:r>
            <w:r>
              <w:rPr>
                <w:rFonts w:cstheme="minorHAnsi"/>
                <w:sz w:val="20"/>
                <w:szCs w:val="20"/>
              </w:rPr>
              <w:t xml:space="preserve"> </w:t>
            </w:r>
          </w:p>
        </w:tc>
      </w:tr>
      <w:tr w:rsidR="00EB15A5" w:rsidRPr="00E438BE" w:rsidTr="00C71F42">
        <w:tc>
          <w:tcPr>
            <w:tcW w:w="1038" w:type="dxa"/>
            <w:shd w:val="clear" w:color="auto" w:fill="auto"/>
          </w:tcPr>
          <w:p w:rsidR="00EB15A5" w:rsidRPr="00E438BE" w:rsidRDefault="00FC2C63" w:rsidP="006E5548">
            <w:pPr>
              <w:jc w:val="center"/>
              <w:rPr>
                <w:rFonts w:cstheme="minorHAnsi"/>
                <w:sz w:val="20"/>
                <w:szCs w:val="20"/>
              </w:rPr>
            </w:pPr>
            <w:r>
              <w:rPr>
                <w:rFonts w:cstheme="minorHAnsi"/>
                <w:sz w:val="20"/>
                <w:szCs w:val="20"/>
              </w:rPr>
              <w:lastRenderedPageBreak/>
              <w:t>D</w:t>
            </w:r>
          </w:p>
        </w:tc>
        <w:tc>
          <w:tcPr>
            <w:tcW w:w="1179" w:type="dxa"/>
            <w:shd w:val="clear" w:color="auto" w:fill="auto"/>
          </w:tcPr>
          <w:p w:rsidR="00EB15A5" w:rsidRPr="00E438BE" w:rsidRDefault="00720AE6" w:rsidP="00FC2C63">
            <w:pPr>
              <w:rPr>
                <w:rFonts w:cstheme="minorHAnsi"/>
                <w:sz w:val="20"/>
                <w:szCs w:val="20"/>
              </w:rPr>
            </w:pPr>
            <w:r>
              <w:rPr>
                <w:rFonts w:cstheme="minorHAnsi"/>
                <w:sz w:val="20"/>
                <w:szCs w:val="20"/>
              </w:rPr>
              <w:t>£2425</w:t>
            </w:r>
          </w:p>
        </w:tc>
        <w:tc>
          <w:tcPr>
            <w:tcW w:w="1107" w:type="dxa"/>
            <w:shd w:val="clear" w:color="auto" w:fill="auto"/>
          </w:tcPr>
          <w:p w:rsidR="00EB15A5" w:rsidRPr="00E438BE" w:rsidRDefault="009F676D" w:rsidP="009F676D">
            <w:pPr>
              <w:jc w:val="center"/>
              <w:rPr>
                <w:rFonts w:cstheme="minorHAnsi"/>
                <w:b/>
                <w:sz w:val="20"/>
                <w:szCs w:val="20"/>
              </w:rPr>
            </w:pPr>
            <w:r>
              <w:rPr>
                <w:rFonts w:cstheme="minorHAnsi"/>
                <w:b/>
                <w:sz w:val="20"/>
                <w:szCs w:val="20"/>
              </w:rPr>
              <w:t>£1472</w:t>
            </w:r>
          </w:p>
        </w:tc>
        <w:tc>
          <w:tcPr>
            <w:tcW w:w="1825" w:type="dxa"/>
            <w:shd w:val="clear" w:color="auto" w:fill="auto"/>
          </w:tcPr>
          <w:p w:rsidR="00EB15A5" w:rsidRPr="00720AE6" w:rsidRDefault="00720AE6" w:rsidP="0078211F">
            <w:pPr>
              <w:pStyle w:val="NoSpacing"/>
              <w:rPr>
                <w:b/>
                <w:sz w:val="20"/>
                <w:szCs w:val="20"/>
              </w:rPr>
            </w:pPr>
            <w:r>
              <w:rPr>
                <w:b/>
                <w:sz w:val="20"/>
                <w:szCs w:val="20"/>
              </w:rPr>
              <w:t>Literacy/Numeracy resources to support lower ability pupils</w:t>
            </w:r>
          </w:p>
        </w:tc>
        <w:tc>
          <w:tcPr>
            <w:tcW w:w="1843" w:type="dxa"/>
            <w:shd w:val="clear" w:color="auto" w:fill="auto"/>
          </w:tcPr>
          <w:p w:rsidR="00EB15A5" w:rsidRPr="00E438BE" w:rsidRDefault="00720AE6" w:rsidP="00EB15A5">
            <w:pPr>
              <w:pStyle w:val="NoSpacing"/>
              <w:rPr>
                <w:sz w:val="20"/>
                <w:szCs w:val="20"/>
              </w:rPr>
            </w:pPr>
            <w:r>
              <w:rPr>
                <w:sz w:val="20"/>
                <w:szCs w:val="20"/>
              </w:rPr>
              <w:t>All PP pupils identified as underachieving in literacy/numeracy</w:t>
            </w:r>
          </w:p>
        </w:tc>
        <w:tc>
          <w:tcPr>
            <w:tcW w:w="8080" w:type="dxa"/>
            <w:shd w:val="clear" w:color="auto" w:fill="auto"/>
          </w:tcPr>
          <w:p w:rsidR="00EB15A5" w:rsidRDefault="00897F67" w:rsidP="005C1356">
            <w:pPr>
              <w:pStyle w:val="NoSpacing"/>
            </w:pPr>
            <w:r>
              <w:t>‘Reluctant Reader’ series of books to support lower ability students.</w:t>
            </w:r>
          </w:p>
          <w:p w:rsidR="00897F67" w:rsidRPr="00E438BE" w:rsidRDefault="00897F67" w:rsidP="005C1356">
            <w:pPr>
              <w:pStyle w:val="NoSpacing"/>
            </w:pPr>
            <w:r>
              <w:t>Staff phonics training</w:t>
            </w:r>
          </w:p>
        </w:tc>
      </w:tr>
      <w:tr w:rsidR="007267BC" w:rsidRPr="00E438BE" w:rsidTr="00C71F42">
        <w:tc>
          <w:tcPr>
            <w:tcW w:w="1038" w:type="dxa"/>
            <w:shd w:val="clear" w:color="auto" w:fill="auto"/>
          </w:tcPr>
          <w:p w:rsidR="007267BC" w:rsidRPr="00E438BE" w:rsidRDefault="007267BC" w:rsidP="006E5548">
            <w:pPr>
              <w:jc w:val="center"/>
              <w:rPr>
                <w:rFonts w:cstheme="minorHAnsi"/>
                <w:sz w:val="20"/>
                <w:szCs w:val="20"/>
              </w:rPr>
            </w:pPr>
            <w:r w:rsidRPr="00E438BE">
              <w:rPr>
                <w:rFonts w:cstheme="minorHAnsi"/>
                <w:sz w:val="20"/>
                <w:szCs w:val="20"/>
              </w:rPr>
              <w:t>E</w:t>
            </w:r>
          </w:p>
        </w:tc>
        <w:tc>
          <w:tcPr>
            <w:tcW w:w="1179" w:type="dxa"/>
            <w:shd w:val="clear" w:color="auto" w:fill="auto"/>
          </w:tcPr>
          <w:p w:rsidR="007267BC" w:rsidRPr="00E438BE" w:rsidRDefault="007267BC" w:rsidP="00760A21">
            <w:pPr>
              <w:rPr>
                <w:rFonts w:cstheme="minorHAnsi"/>
                <w:sz w:val="20"/>
                <w:szCs w:val="20"/>
              </w:rPr>
            </w:pPr>
          </w:p>
        </w:tc>
        <w:tc>
          <w:tcPr>
            <w:tcW w:w="1107" w:type="dxa"/>
            <w:shd w:val="clear" w:color="auto" w:fill="auto"/>
          </w:tcPr>
          <w:p w:rsidR="007267BC" w:rsidRPr="00E438BE" w:rsidRDefault="00382D46" w:rsidP="009F676D">
            <w:pPr>
              <w:jc w:val="center"/>
              <w:rPr>
                <w:rFonts w:cstheme="minorHAnsi"/>
                <w:b/>
                <w:sz w:val="20"/>
                <w:szCs w:val="20"/>
              </w:rPr>
            </w:pPr>
            <w:r>
              <w:rPr>
                <w:rFonts w:cstheme="minorHAnsi"/>
                <w:b/>
                <w:sz w:val="20"/>
                <w:szCs w:val="20"/>
              </w:rPr>
              <w:t>£741</w:t>
            </w:r>
          </w:p>
        </w:tc>
        <w:tc>
          <w:tcPr>
            <w:tcW w:w="1825" w:type="dxa"/>
            <w:shd w:val="clear" w:color="auto" w:fill="auto"/>
          </w:tcPr>
          <w:p w:rsidR="007267BC" w:rsidRPr="00E438BE" w:rsidRDefault="007267BC" w:rsidP="009C58F4">
            <w:pPr>
              <w:pStyle w:val="NoSpacing"/>
              <w:rPr>
                <w:b/>
                <w:sz w:val="20"/>
                <w:szCs w:val="20"/>
              </w:rPr>
            </w:pPr>
            <w:r w:rsidRPr="00E438BE">
              <w:rPr>
                <w:b/>
                <w:sz w:val="20"/>
                <w:szCs w:val="20"/>
              </w:rPr>
              <w:t xml:space="preserve">Equipment, resources and training to support enriched creative curriculum </w:t>
            </w:r>
          </w:p>
        </w:tc>
        <w:tc>
          <w:tcPr>
            <w:tcW w:w="1843" w:type="dxa"/>
            <w:shd w:val="clear" w:color="auto" w:fill="auto"/>
          </w:tcPr>
          <w:p w:rsidR="007267BC" w:rsidRPr="00E438BE" w:rsidRDefault="007267BC" w:rsidP="00871A61">
            <w:pPr>
              <w:pStyle w:val="NoSpacing"/>
              <w:rPr>
                <w:sz w:val="20"/>
                <w:szCs w:val="20"/>
              </w:rPr>
            </w:pPr>
            <w:r w:rsidRPr="00E438BE">
              <w:rPr>
                <w:sz w:val="20"/>
                <w:szCs w:val="20"/>
              </w:rPr>
              <w:t xml:space="preserve">All PP pupils; key staff to be trained to use equipment </w:t>
            </w:r>
          </w:p>
        </w:tc>
        <w:tc>
          <w:tcPr>
            <w:tcW w:w="8080" w:type="dxa"/>
            <w:shd w:val="clear" w:color="auto" w:fill="auto"/>
          </w:tcPr>
          <w:p w:rsidR="007267BC" w:rsidRDefault="00382D46" w:rsidP="00871A61">
            <w:pPr>
              <w:pStyle w:val="NoSpacing"/>
            </w:pPr>
            <w:r>
              <w:t xml:space="preserve">The </w:t>
            </w:r>
            <w:proofErr w:type="spellStart"/>
            <w:r>
              <w:t>Charanga</w:t>
            </w:r>
            <w:proofErr w:type="spellEnd"/>
            <w:r>
              <w:t xml:space="preserve"> subscription has enhanced the Music curriculum Y7 – Y9.</w:t>
            </w:r>
          </w:p>
          <w:p w:rsidR="00382D46" w:rsidRDefault="00382D46" w:rsidP="00871A61">
            <w:pPr>
              <w:pStyle w:val="NoSpacing"/>
            </w:pPr>
            <w:r>
              <w:t>Duke of Edinburgh student programme continues to allow students to access outdoor activities and qualification at a suitable level.</w:t>
            </w:r>
          </w:p>
          <w:p w:rsidR="00382D46" w:rsidRPr="00E438BE" w:rsidRDefault="00382D46" w:rsidP="00871A61">
            <w:pPr>
              <w:pStyle w:val="NoSpacing"/>
            </w:pPr>
          </w:p>
        </w:tc>
      </w:tr>
      <w:tr w:rsidR="007267BC" w:rsidRPr="00E438BE" w:rsidTr="000937F9">
        <w:tc>
          <w:tcPr>
            <w:tcW w:w="1038" w:type="dxa"/>
            <w:shd w:val="clear" w:color="auto" w:fill="FBD4B4" w:themeFill="accent6" w:themeFillTint="66"/>
          </w:tcPr>
          <w:p w:rsidR="007267BC" w:rsidRPr="00E438BE" w:rsidRDefault="007267BC" w:rsidP="00760A21">
            <w:pPr>
              <w:rPr>
                <w:rFonts w:cstheme="minorHAnsi"/>
                <w:sz w:val="20"/>
                <w:szCs w:val="20"/>
              </w:rPr>
            </w:pPr>
            <w:r w:rsidRPr="00E438BE">
              <w:rPr>
                <w:rFonts w:cstheme="minorHAnsi"/>
                <w:sz w:val="20"/>
                <w:szCs w:val="20"/>
              </w:rPr>
              <w:t>2020/21</w:t>
            </w:r>
          </w:p>
        </w:tc>
        <w:tc>
          <w:tcPr>
            <w:tcW w:w="1179" w:type="dxa"/>
            <w:shd w:val="clear" w:color="auto" w:fill="FBD4B4" w:themeFill="accent6" w:themeFillTint="66"/>
          </w:tcPr>
          <w:p w:rsidR="007267BC" w:rsidRPr="009F676D" w:rsidRDefault="007267BC" w:rsidP="007135EC">
            <w:pPr>
              <w:rPr>
                <w:rFonts w:cstheme="minorHAnsi"/>
                <w:sz w:val="20"/>
                <w:szCs w:val="20"/>
              </w:rPr>
            </w:pPr>
            <w:r w:rsidRPr="009F676D">
              <w:rPr>
                <w:rFonts w:cstheme="minorHAnsi"/>
                <w:sz w:val="20"/>
                <w:szCs w:val="20"/>
              </w:rPr>
              <w:t>£43,845</w:t>
            </w:r>
          </w:p>
        </w:tc>
        <w:tc>
          <w:tcPr>
            <w:tcW w:w="1107" w:type="dxa"/>
            <w:shd w:val="clear" w:color="auto" w:fill="FBD4B4" w:themeFill="accent6" w:themeFillTint="66"/>
          </w:tcPr>
          <w:p w:rsidR="007267BC" w:rsidRPr="009F676D" w:rsidRDefault="009F676D" w:rsidP="00382D46">
            <w:pPr>
              <w:jc w:val="center"/>
              <w:rPr>
                <w:rFonts w:cstheme="minorHAnsi"/>
                <w:b/>
                <w:sz w:val="20"/>
                <w:szCs w:val="20"/>
              </w:rPr>
            </w:pPr>
            <w:r>
              <w:rPr>
                <w:rFonts w:cstheme="minorHAnsi"/>
                <w:b/>
                <w:sz w:val="20"/>
                <w:szCs w:val="20"/>
              </w:rPr>
              <w:t>£</w:t>
            </w:r>
            <w:r w:rsidR="00382D46">
              <w:rPr>
                <w:rFonts w:cstheme="minorHAnsi"/>
                <w:b/>
                <w:sz w:val="20"/>
                <w:szCs w:val="20"/>
              </w:rPr>
              <w:t>48100</w:t>
            </w:r>
            <w:bookmarkStart w:id="0" w:name="_GoBack"/>
            <w:bookmarkEnd w:id="0"/>
          </w:p>
        </w:tc>
        <w:tc>
          <w:tcPr>
            <w:tcW w:w="1825" w:type="dxa"/>
            <w:shd w:val="clear" w:color="auto" w:fill="FBD4B4" w:themeFill="accent6" w:themeFillTint="66"/>
          </w:tcPr>
          <w:p w:rsidR="007267BC" w:rsidRPr="00E438BE" w:rsidRDefault="007267BC" w:rsidP="00760A21">
            <w:pPr>
              <w:rPr>
                <w:rFonts w:cstheme="minorHAnsi"/>
                <w:sz w:val="20"/>
                <w:szCs w:val="20"/>
              </w:rPr>
            </w:pPr>
          </w:p>
        </w:tc>
        <w:tc>
          <w:tcPr>
            <w:tcW w:w="1843" w:type="dxa"/>
            <w:shd w:val="clear" w:color="auto" w:fill="FBD4B4" w:themeFill="accent6" w:themeFillTint="66"/>
          </w:tcPr>
          <w:p w:rsidR="007267BC" w:rsidRPr="00E438BE" w:rsidRDefault="007267BC" w:rsidP="00760A21">
            <w:pPr>
              <w:rPr>
                <w:rFonts w:cstheme="minorHAnsi"/>
                <w:sz w:val="20"/>
                <w:szCs w:val="20"/>
              </w:rPr>
            </w:pPr>
          </w:p>
        </w:tc>
        <w:tc>
          <w:tcPr>
            <w:tcW w:w="8080" w:type="dxa"/>
            <w:shd w:val="clear" w:color="auto" w:fill="FBD4B4" w:themeFill="accent6" w:themeFillTint="66"/>
          </w:tcPr>
          <w:p w:rsidR="007267BC" w:rsidRPr="00E438BE" w:rsidRDefault="007267BC" w:rsidP="00760A21">
            <w:pPr>
              <w:rPr>
                <w:rFonts w:cstheme="minorHAnsi"/>
                <w:sz w:val="20"/>
                <w:szCs w:val="20"/>
              </w:rPr>
            </w:pPr>
          </w:p>
        </w:tc>
      </w:tr>
      <w:tr w:rsidR="007267BC" w:rsidRPr="00967E8E" w:rsidTr="0084550B">
        <w:tc>
          <w:tcPr>
            <w:tcW w:w="15072" w:type="dxa"/>
            <w:gridSpan w:val="6"/>
            <w:shd w:val="clear" w:color="auto" w:fill="auto"/>
          </w:tcPr>
          <w:p w:rsidR="007267BC" w:rsidRPr="00967E8E" w:rsidRDefault="007267BC" w:rsidP="00760A21">
            <w:pPr>
              <w:jc w:val="center"/>
              <w:rPr>
                <w:rFonts w:cstheme="minorHAnsi"/>
                <w:sz w:val="20"/>
                <w:szCs w:val="20"/>
              </w:rPr>
            </w:pPr>
            <w:r w:rsidRPr="00E438BE">
              <w:rPr>
                <w:rFonts w:cstheme="minorHAnsi"/>
                <w:b/>
                <w:sz w:val="20"/>
                <w:szCs w:val="20"/>
              </w:rPr>
              <w:t>PLEASE NOTE</w:t>
            </w:r>
            <w:r w:rsidRPr="00E438BE">
              <w:rPr>
                <w:rFonts w:cstheme="minorHAnsi"/>
                <w:sz w:val="20"/>
                <w:szCs w:val="20"/>
              </w:rPr>
              <w:t xml:space="preserve">: Pupil Premium is only one funding grant. </w:t>
            </w:r>
            <w:r w:rsidRPr="00E438BE">
              <w:rPr>
                <w:rFonts w:cstheme="minorHAnsi"/>
                <w:b/>
                <w:bCs/>
                <w:sz w:val="20"/>
                <w:szCs w:val="20"/>
              </w:rPr>
              <w:t xml:space="preserve">All </w:t>
            </w:r>
            <w:r w:rsidRPr="00E438BE">
              <w:rPr>
                <w:rFonts w:cstheme="minorHAnsi"/>
                <w:sz w:val="20"/>
                <w:szCs w:val="20"/>
              </w:rPr>
              <w:t>pupils are well supported through other grants/school budget share.</w:t>
            </w:r>
          </w:p>
        </w:tc>
      </w:tr>
    </w:tbl>
    <w:p w:rsidR="00C5249B" w:rsidRPr="00967E8E" w:rsidRDefault="00C5249B" w:rsidP="000D06F2">
      <w:pPr>
        <w:rPr>
          <w:rFonts w:cstheme="minorHAnsi"/>
        </w:rPr>
      </w:pPr>
    </w:p>
    <w:p w:rsidR="00C5249B" w:rsidRPr="00967E8E" w:rsidRDefault="00C5249B" w:rsidP="00C5249B">
      <w:pPr>
        <w:rPr>
          <w:rFonts w:cstheme="minorHAnsi"/>
        </w:rPr>
      </w:pPr>
    </w:p>
    <w:sectPr w:rsidR="00C5249B" w:rsidRPr="00967E8E" w:rsidSect="0039240C">
      <w:headerReference w:type="default" r:id="rId8"/>
      <w:pgSz w:w="16838" w:h="11906" w:orient="landscape"/>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524" w:rsidRDefault="00C15524" w:rsidP="00C15524">
      <w:pPr>
        <w:spacing w:after="0" w:line="240" w:lineRule="auto"/>
      </w:pPr>
      <w:r>
        <w:separator/>
      </w:r>
    </w:p>
  </w:endnote>
  <w:endnote w:type="continuationSeparator" w:id="0">
    <w:p w:rsidR="00C15524" w:rsidRDefault="00C15524" w:rsidP="00C1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524" w:rsidRDefault="00C15524" w:rsidP="00C15524">
      <w:pPr>
        <w:spacing w:after="0" w:line="240" w:lineRule="auto"/>
      </w:pPr>
      <w:r>
        <w:separator/>
      </w:r>
    </w:p>
  </w:footnote>
  <w:footnote w:type="continuationSeparator" w:id="0">
    <w:p w:rsidR="00C15524" w:rsidRDefault="00C15524" w:rsidP="00C15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524" w:rsidRDefault="00C15524">
    <w:pPr>
      <w:pStyle w:val="Header"/>
    </w:pPr>
    <w:r>
      <w:t>ASHLEY HIGH SCHOOL</w:t>
    </w:r>
    <w:r w:rsidR="00305639">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4EEC"/>
    <w:multiLevelType w:val="hybridMultilevel"/>
    <w:tmpl w:val="0CC2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02BFB"/>
    <w:multiLevelType w:val="hybridMultilevel"/>
    <w:tmpl w:val="054C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4008C6"/>
    <w:multiLevelType w:val="hybridMultilevel"/>
    <w:tmpl w:val="F49004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596329"/>
    <w:multiLevelType w:val="hybridMultilevel"/>
    <w:tmpl w:val="B3D6C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24"/>
    <w:rsid w:val="000112D3"/>
    <w:rsid w:val="000314E6"/>
    <w:rsid w:val="0004275F"/>
    <w:rsid w:val="000451F4"/>
    <w:rsid w:val="00045F26"/>
    <w:rsid w:val="000932A5"/>
    <w:rsid w:val="000937F9"/>
    <w:rsid w:val="000A6C52"/>
    <w:rsid w:val="000B793F"/>
    <w:rsid w:val="000B7C48"/>
    <w:rsid w:val="000D06F2"/>
    <w:rsid w:val="000E1F6D"/>
    <w:rsid w:val="000E7EE1"/>
    <w:rsid w:val="0014665A"/>
    <w:rsid w:val="0015445E"/>
    <w:rsid w:val="001950FE"/>
    <w:rsid w:val="0026002B"/>
    <w:rsid w:val="00270646"/>
    <w:rsid w:val="002B72D4"/>
    <w:rsid w:val="00305639"/>
    <w:rsid w:val="00313CD0"/>
    <w:rsid w:val="0031614E"/>
    <w:rsid w:val="003342FC"/>
    <w:rsid w:val="00352ABD"/>
    <w:rsid w:val="003828CF"/>
    <w:rsid w:val="00382D46"/>
    <w:rsid w:val="0039240C"/>
    <w:rsid w:val="003A3D58"/>
    <w:rsid w:val="003A7432"/>
    <w:rsid w:val="003B2A2A"/>
    <w:rsid w:val="003F761D"/>
    <w:rsid w:val="004102DE"/>
    <w:rsid w:val="00413656"/>
    <w:rsid w:val="00441448"/>
    <w:rsid w:val="004A42FC"/>
    <w:rsid w:val="004D688F"/>
    <w:rsid w:val="004D7241"/>
    <w:rsid w:val="00577E2F"/>
    <w:rsid w:val="005B29BC"/>
    <w:rsid w:val="005C1356"/>
    <w:rsid w:val="005D1064"/>
    <w:rsid w:val="006236B4"/>
    <w:rsid w:val="00653875"/>
    <w:rsid w:val="006D0422"/>
    <w:rsid w:val="006E2BEF"/>
    <w:rsid w:val="006E5548"/>
    <w:rsid w:val="00706321"/>
    <w:rsid w:val="007135EC"/>
    <w:rsid w:val="00720AE6"/>
    <w:rsid w:val="007267BC"/>
    <w:rsid w:val="00735A5D"/>
    <w:rsid w:val="00735C8F"/>
    <w:rsid w:val="00767BAC"/>
    <w:rsid w:val="0078211F"/>
    <w:rsid w:val="007900FE"/>
    <w:rsid w:val="007D5755"/>
    <w:rsid w:val="00820CBC"/>
    <w:rsid w:val="0084550B"/>
    <w:rsid w:val="008517EC"/>
    <w:rsid w:val="00851C04"/>
    <w:rsid w:val="00871A61"/>
    <w:rsid w:val="00874553"/>
    <w:rsid w:val="0087767B"/>
    <w:rsid w:val="00897F67"/>
    <w:rsid w:val="008E6B55"/>
    <w:rsid w:val="009143F5"/>
    <w:rsid w:val="00967E8E"/>
    <w:rsid w:val="00975E57"/>
    <w:rsid w:val="00977402"/>
    <w:rsid w:val="00983A5C"/>
    <w:rsid w:val="009868CC"/>
    <w:rsid w:val="009C58F4"/>
    <w:rsid w:val="009C6538"/>
    <w:rsid w:val="009C6D8C"/>
    <w:rsid w:val="009D4306"/>
    <w:rsid w:val="009F676D"/>
    <w:rsid w:val="00A0287F"/>
    <w:rsid w:val="00A31A6F"/>
    <w:rsid w:val="00A31D34"/>
    <w:rsid w:val="00A671DC"/>
    <w:rsid w:val="00AA26FC"/>
    <w:rsid w:val="00AD3330"/>
    <w:rsid w:val="00AE43D7"/>
    <w:rsid w:val="00AF6A16"/>
    <w:rsid w:val="00B25DD7"/>
    <w:rsid w:val="00B748D0"/>
    <w:rsid w:val="00B96704"/>
    <w:rsid w:val="00BB67A2"/>
    <w:rsid w:val="00BC06BB"/>
    <w:rsid w:val="00BD0E7A"/>
    <w:rsid w:val="00BF0E42"/>
    <w:rsid w:val="00C15524"/>
    <w:rsid w:val="00C20352"/>
    <w:rsid w:val="00C230D2"/>
    <w:rsid w:val="00C5249B"/>
    <w:rsid w:val="00C544B7"/>
    <w:rsid w:val="00C71F42"/>
    <w:rsid w:val="00C73BE6"/>
    <w:rsid w:val="00CA03A5"/>
    <w:rsid w:val="00D44979"/>
    <w:rsid w:val="00D624FE"/>
    <w:rsid w:val="00D67586"/>
    <w:rsid w:val="00D92CD5"/>
    <w:rsid w:val="00E438BE"/>
    <w:rsid w:val="00E475DA"/>
    <w:rsid w:val="00E5433B"/>
    <w:rsid w:val="00EB15A5"/>
    <w:rsid w:val="00EB1AE1"/>
    <w:rsid w:val="00EB3483"/>
    <w:rsid w:val="00EC1D90"/>
    <w:rsid w:val="00F44F92"/>
    <w:rsid w:val="00FC2C63"/>
    <w:rsid w:val="00FF2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8C65"/>
  <w15:docId w15:val="{2C79BBFA-D409-4DFF-AA4E-5B430349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524"/>
  </w:style>
  <w:style w:type="paragraph" w:styleId="Footer">
    <w:name w:val="footer"/>
    <w:basedOn w:val="Normal"/>
    <w:link w:val="FooterChar"/>
    <w:uiPriority w:val="99"/>
    <w:unhideWhenUsed/>
    <w:rsid w:val="00C15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524"/>
  </w:style>
  <w:style w:type="paragraph" w:styleId="NoSpacing">
    <w:name w:val="No Spacing"/>
    <w:uiPriority w:val="1"/>
    <w:qFormat/>
    <w:rsid w:val="00C15524"/>
    <w:pPr>
      <w:spacing w:after="0" w:line="240" w:lineRule="auto"/>
    </w:pPr>
  </w:style>
  <w:style w:type="table" w:styleId="TableGrid">
    <w:name w:val="Table Grid"/>
    <w:basedOn w:val="TableNormal"/>
    <w:uiPriority w:val="59"/>
    <w:rsid w:val="00C15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6F2"/>
    <w:pPr>
      <w:ind w:left="720"/>
      <w:contextualSpacing/>
    </w:pPr>
  </w:style>
  <w:style w:type="paragraph" w:styleId="Subtitle">
    <w:name w:val="Subtitle"/>
    <w:basedOn w:val="Normal"/>
    <w:next w:val="Normal"/>
    <w:link w:val="SubtitleChar"/>
    <w:uiPriority w:val="11"/>
    <w:qFormat/>
    <w:rsid w:val="00B25D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25DD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9B9F7-C9D7-45EC-8CD2-76AE90B9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Michael Jones</cp:lastModifiedBy>
  <cp:revision>3</cp:revision>
  <cp:lastPrinted>2021-09-23T12:28:00Z</cp:lastPrinted>
  <dcterms:created xsi:type="dcterms:W3CDTF">2022-11-16T14:28:00Z</dcterms:created>
  <dcterms:modified xsi:type="dcterms:W3CDTF">2022-11-17T11:56:00Z</dcterms:modified>
</cp:coreProperties>
</file>