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33F5" w14:textId="77777777" w:rsidR="00312BB9" w:rsidRDefault="00312BB9" w:rsidP="00A02693">
      <w:pPr>
        <w:pStyle w:val="NormalWeb"/>
        <w:jc w:val="center"/>
        <w:rPr>
          <w:rFonts w:ascii="Arial,Bold" w:hAnsi="Arial,Bold" w:hint="eastAsia"/>
          <w:color w:val="000066"/>
          <w:sz w:val="56"/>
          <w:szCs w:val="56"/>
        </w:rPr>
      </w:pPr>
    </w:p>
    <w:p w14:paraId="498002A8" w14:textId="77777777" w:rsidR="00A54B87" w:rsidRDefault="00A54B87" w:rsidP="00A02693">
      <w:pPr>
        <w:spacing w:before="100" w:beforeAutospacing="1" w:after="100" w:afterAutospacing="1"/>
        <w:rPr>
          <w:rFonts w:ascii="Arial" w:hAnsi="Arial" w:cs="Arial"/>
          <w:lang w:val="en-GB"/>
        </w:rPr>
      </w:pPr>
      <w:r>
        <w:rPr>
          <w:rFonts w:ascii="Arial" w:hAnsi="Arial" w:cs="Arial"/>
          <w:lang w:val="en-GB"/>
        </w:rPr>
        <w:t xml:space="preserve">BTEC Reasonable Adjustment </w:t>
      </w:r>
    </w:p>
    <w:p w14:paraId="3CB3A6A5" w14:textId="4EF2D374" w:rsidR="00A02693" w:rsidRPr="00A02693" w:rsidRDefault="00A02693" w:rsidP="00A02693">
      <w:pPr>
        <w:spacing w:before="100" w:beforeAutospacing="1" w:after="100" w:afterAutospacing="1"/>
        <w:rPr>
          <w:rFonts w:ascii="Arial" w:hAnsi="Arial" w:cs="Arial"/>
          <w:lang w:val="en-GB"/>
        </w:rPr>
      </w:pPr>
      <w:bookmarkStart w:id="0" w:name="_GoBack"/>
      <w:bookmarkEnd w:id="0"/>
      <w:r w:rsidRPr="00A02693">
        <w:rPr>
          <w:rFonts w:ascii="Arial" w:hAnsi="Arial" w:cs="Arial"/>
          <w:lang w:val="en-GB"/>
        </w:rPr>
        <w:t xml:space="preserve">Introduction </w:t>
      </w:r>
    </w:p>
    <w:p w14:paraId="530CE18E"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This policy sets out the procedures that learners and tutors should follow when implementing reasonable adjustments and special considerations. </w:t>
      </w:r>
    </w:p>
    <w:p w14:paraId="3035E7B8"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Reasonable adjustment </w:t>
      </w:r>
    </w:p>
    <w:p w14:paraId="1F073D3C"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A ‘reasonable adjustment’ helps to reduce the effect of a disability or difficulty that places the learner at a substantial disadvantage in the assessment situation. Reasonable adjustments must not affect the validity or reliability of assessment outcomes, but may involve: </w:t>
      </w:r>
    </w:p>
    <w:p w14:paraId="73C4F3E5"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Changing usual assessment arrangements;</w:t>
      </w:r>
      <w:r w:rsidRPr="00A02693">
        <w:rPr>
          <w:rFonts w:ascii="Arial" w:hAnsi="Arial" w:cs="Arial"/>
          <w:lang w:val="en-GB"/>
        </w:rPr>
        <w:br/>
        <w:t>• adapting assessment materials;</w:t>
      </w:r>
      <w:r w:rsidRPr="00A02693">
        <w:rPr>
          <w:rFonts w:ascii="Arial" w:hAnsi="Arial" w:cs="Arial"/>
          <w:lang w:val="en-GB"/>
        </w:rPr>
        <w:br/>
        <w:t>• providing assistance during assessment;</w:t>
      </w:r>
      <w:r w:rsidRPr="00A02693">
        <w:rPr>
          <w:rFonts w:ascii="Arial" w:hAnsi="Arial" w:cs="Arial"/>
          <w:lang w:val="en-GB"/>
        </w:rPr>
        <w:br/>
        <w:t xml:space="preserve">• re-organising the assessment physical environment; • changing or adapting the assessment method and/or • using assistive technology. </w:t>
      </w:r>
    </w:p>
    <w:p w14:paraId="65CD94DF"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Reasonable adjustments must be approved and set in place prior to assessment commencing. It is an arrangement to give a learner access to a qualification. </w:t>
      </w:r>
    </w:p>
    <w:p w14:paraId="1AD51272"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The work produced following a reasonable adjustment must be assessed in the same way as the work from other learners. </w:t>
      </w:r>
    </w:p>
    <w:p w14:paraId="7B31544F"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Below are examples of reasonable adjustment. It is important to note that not all adjustments described below will be reasonable, permissible or practical in particular situations. The learner may not need, nor be allowed the same adjustment for all assessments. </w:t>
      </w:r>
    </w:p>
    <w:p w14:paraId="2E7C640B"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A reasonable adjustment must never affect the validity or reliability of assessment, influence the outcome of assessment or give the learner(s) in question an unfair assessment advantage. </w:t>
      </w:r>
    </w:p>
    <w:p w14:paraId="7516D1E2"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t xml:space="preserve">Examples of reasonable adjustments as defined by the above categories are listed below. </w:t>
      </w:r>
    </w:p>
    <w:p w14:paraId="077ECDC8" w14:textId="77777777" w:rsidR="00A02693" w:rsidRPr="00A02693" w:rsidRDefault="00312BB9" w:rsidP="00A02693">
      <w:pPr>
        <w:numPr>
          <w:ilvl w:val="0"/>
          <w:numId w:val="1"/>
        </w:numPr>
        <w:spacing w:before="100" w:beforeAutospacing="1" w:after="100" w:afterAutospacing="1"/>
        <w:rPr>
          <w:rFonts w:ascii="Arial" w:hAnsi="Arial" w:cs="Arial"/>
          <w:lang w:val="en-GB"/>
        </w:rPr>
      </w:pPr>
      <w:r>
        <w:rPr>
          <w:rFonts w:ascii="Arial" w:hAnsi="Arial" w:cs="Arial"/>
          <w:lang w:val="en-GB"/>
        </w:rPr>
        <w:t>Allowing extra time</w:t>
      </w:r>
    </w:p>
    <w:p w14:paraId="26A91CBE" w14:textId="77777777" w:rsidR="00A02693" w:rsidRPr="00A02693" w:rsidRDefault="00A02693" w:rsidP="00A02693">
      <w:pPr>
        <w:numPr>
          <w:ilvl w:val="0"/>
          <w:numId w:val="1"/>
        </w:numPr>
        <w:spacing w:before="100" w:beforeAutospacing="1" w:after="100" w:afterAutospacing="1"/>
        <w:rPr>
          <w:rFonts w:ascii="Arial" w:hAnsi="Arial" w:cs="Arial"/>
          <w:lang w:val="en-GB"/>
        </w:rPr>
      </w:pPr>
      <w:proofErr w:type="gramStart"/>
      <w:r w:rsidRPr="00A02693">
        <w:rPr>
          <w:rFonts w:ascii="Arial" w:hAnsi="Arial" w:cs="Arial"/>
          <w:lang w:val="en-GB"/>
        </w:rPr>
        <w:t>using</w:t>
      </w:r>
      <w:proofErr w:type="gramEnd"/>
      <w:r w:rsidRPr="00A02693">
        <w:rPr>
          <w:rFonts w:ascii="Arial" w:hAnsi="Arial" w:cs="Arial"/>
          <w:lang w:val="en-GB"/>
        </w:rPr>
        <w:t xml:space="preserve"> a</w:t>
      </w:r>
      <w:r w:rsidR="00312BB9">
        <w:rPr>
          <w:rFonts w:ascii="Arial" w:hAnsi="Arial" w:cs="Arial"/>
          <w:lang w:val="en-GB"/>
        </w:rPr>
        <w:t xml:space="preserve"> different assessment location</w:t>
      </w:r>
    </w:p>
    <w:p w14:paraId="40C06982" w14:textId="77777777" w:rsidR="00A02693" w:rsidRPr="00A02693" w:rsidRDefault="00A02693" w:rsidP="00A02693">
      <w:pPr>
        <w:numPr>
          <w:ilvl w:val="0"/>
          <w:numId w:val="1"/>
        </w:numPr>
        <w:spacing w:before="100" w:beforeAutospacing="1" w:after="100" w:afterAutospacing="1"/>
        <w:rPr>
          <w:rFonts w:ascii="Arial" w:hAnsi="Arial" w:cs="Arial"/>
          <w:lang w:val="en-GB"/>
        </w:rPr>
      </w:pPr>
      <w:proofErr w:type="gramStart"/>
      <w:r w:rsidRPr="00A02693">
        <w:rPr>
          <w:rFonts w:ascii="Arial" w:hAnsi="Arial" w:cs="Arial"/>
          <w:lang w:val="en-GB"/>
        </w:rPr>
        <w:t>use</w:t>
      </w:r>
      <w:proofErr w:type="gramEnd"/>
      <w:r w:rsidRPr="00A02693">
        <w:rPr>
          <w:rFonts w:ascii="Arial" w:hAnsi="Arial" w:cs="Arial"/>
          <w:lang w:val="en-GB"/>
        </w:rPr>
        <w:t xml:space="preserve"> of coloured overlays </w:t>
      </w:r>
    </w:p>
    <w:p w14:paraId="309C7AD1" w14:textId="77777777" w:rsidR="00A02693" w:rsidRPr="00A02693" w:rsidRDefault="00A02693" w:rsidP="00A02693">
      <w:pPr>
        <w:numPr>
          <w:ilvl w:val="0"/>
          <w:numId w:val="1"/>
        </w:numPr>
        <w:spacing w:before="100" w:beforeAutospacing="1" w:after="100" w:afterAutospacing="1"/>
        <w:rPr>
          <w:rFonts w:ascii="Arial" w:hAnsi="Arial" w:cs="Arial"/>
          <w:lang w:val="en-GB"/>
        </w:rPr>
      </w:pPr>
      <w:proofErr w:type="gramStart"/>
      <w:r w:rsidRPr="00A02693">
        <w:rPr>
          <w:rFonts w:ascii="Arial" w:hAnsi="Arial" w:cs="Arial"/>
          <w:lang w:val="en-GB"/>
        </w:rPr>
        <w:t>assessm</w:t>
      </w:r>
      <w:r w:rsidR="00312BB9">
        <w:rPr>
          <w:rFonts w:ascii="Arial" w:hAnsi="Arial" w:cs="Arial"/>
          <w:lang w:val="en-GB"/>
        </w:rPr>
        <w:t>ent</w:t>
      </w:r>
      <w:proofErr w:type="gramEnd"/>
      <w:r w:rsidR="00312BB9">
        <w:rPr>
          <w:rFonts w:ascii="Arial" w:hAnsi="Arial" w:cs="Arial"/>
          <w:lang w:val="en-GB"/>
        </w:rPr>
        <w:t xml:space="preserve"> material in large format </w:t>
      </w:r>
    </w:p>
    <w:p w14:paraId="7E206E8D" w14:textId="77777777" w:rsidR="00A02693" w:rsidRPr="00A02693" w:rsidRDefault="00312BB9" w:rsidP="00A02693">
      <w:pPr>
        <w:numPr>
          <w:ilvl w:val="0"/>
          <w:numId w:val="1"/>
        </w:numPr>
        <w:spacing w:before="100" w:beforeAutospacing="1" w:after="100" w:afterAutospacing="1"/>
        <w:rPr>
          <w:rFonts w:ascii="Arial" w:hAnsi="Arial" w:cs="Arial"/>
          <w:lang w:val="en-GB"/>
        </w:rPr>
      </w:pPr>
      <w:proofErr w:type="gramStart"/>
      <w:r>
        <w:rPr>
          <w:rFonts w:ascii="Arial" w:hAnsi="Arial" w:cs="Arial"/>
          <w:lang w:val="en-GB"/>
        </w:rPr>
        <w:t>readers</w:t>
      </w:r>
      <w:proofErr w:type="gramEnd"/>
      <w:r>
        <w:rPr>
          <w:rFonts w:ascii="Arial" w:hAnsi="Arial" w:cs="Arial"/>
          <w:lang w:val="en-GB"/>
        </w:rPr>
        <w:t>/scribes</w:t>
      </w:r>
    </w:p>
    <w:p w14:paraId="3D3E1421" w14:textId="77777777" w:rsidR="00A02693" w:rsidRPr="00A02693" w:rsidRDefault="00A02693" w:rsidP="00A02693">
      <w:pPr>
        <w:numPr>
          <w:ilvl w:val="0"/>
          <w:numId w:val="1"/>
        </w:numPr>
        <w:spacing w:before="100" w:beforeAutospacing="1" w:after="100" w:afterAutospacing="1"/>
        <w:rPr>
          <w:rFonts w:ascii="Arial" w:hAnsi="Arial" w:cs="Arial"/>
          <w:lang w:val="en-GB"/>
        </w:rPr>
      </w:pPr>
      <w:proofErr w:type="gramStart"/>
      <w:r w:rsidRPr="00A02693">
        <w:rPr>
          <w:rFonts w:ascii="Arial" w:hAnsi="Arial" w:cs="Arial"/>
          <w:lang w:val="en-GB"/>
        </w:rPr>
        <w:t>prompters</w:t>
      </w:r>
      <w:proofErr w:type="gramEnd"/>
      <w:r w:rsidRPr="00A02693">
        <w:rPr>
          <w:rFonts w:ascii="Arial" w:hAnsi="Arial" w:cs="Arial"/>
          <w:lang w:val="en-GB"/>
        </w:rPr>
        <w:t xml:space="preserve">; </w:t>
      </w:r>
    </w:p>
    <w:p w14:paraId="1197080A" w14:textId="77777777" w:rsidR="00312BB9" w:rsidRPr="00312BB9" w:rsidRDefault="00A02693" w:rsidP="00312BB9">
      <w:pPr>
        <w:numPr>
          <w:ilvl w:val="0"/>
          <w:numId w:val="1"/>
        </w:numPr>
        <w:spacing w:before="100" w:beforeAutospacing="1" w:after="100" w:afterAutospacing="1"/>
        <w:rPr>
          <w:rFonts w:ascii="Arial" w:hAnsi="Arial" w:cs="Arial"/>
          <w:lang w:val="en-GB"/>
        </w:rPr>
      </w:pPr>
      <w:proofErr w:type="gramStart"/>
      <w:r w:rsidRPr="00A02693">
        <w:rPr>
          <w:rFonts w:ascii="Arial" w:hAnsi="Arial" w:cs="Arial"/>
          <w:lang w:val="en-GB"/>
        </w:rPr>
        <w:t>assessment</w:t>
      </w:r>
      <w:proofErr w:type="gramEnd"/>
      <w:r w:rsidRPr="00A02693">
        <w:rPr>
          <w:rFonts w:ascii="Arial" w:hAnsi="Arial" w:cs="Arial"/>
          <w:lang w:val="en-GB"/>
        </w:rPr>
        <w:t xml:space="preserve"> material on col</w:t>
      </w:r>
      <w:r w:rsidR="00312BB9">
        <w:rPr>
          <w:rFonts w:ascii="Arial" w:hAnsi="Arial" w:cs="Arial"/>
          <w:lang w:val="en-GB"/>
        </w:rPr>
        <w:t xml:space="preserve">oured paper </w:t>
      </w:r>
    </w:p>
    <w:p w14:paraId="6A1C1723" w14:textId="77777777" w:rsidR="00A02693" w:rsidRPr="00312BB9" w:rsidRDefault="00A02693" w:rsidP="00312BB9">
      <w:pPr>
        <w:spacing w:before="100" w:beforeAutospacing="1" w:after="100" w:afterAutospacing="1"/>
        <w:ind w:left="360"/>
        <w:rPr>
          <w:rFonts w:ascii="Arial" w:hAnsi="Arial" w:cs="Arial"/>
          <w:lang w:val="en-GB"/>
        </w:rPr>
      </w:pPr>
      <w:r w:rsidRPr="00312BB9">
        <w:rPr>
          <w:rFonts w:ascii="Arial" w:hAnsi="Arial" w:cs="Arial"/>
          <w:lang w:val="en-GB"/>
        </w:rPr>
        <w:t xml:space="preserve">Applying reasonable adjustment </w:t>
      </w:r>
    </w:p>
    <w:p w14:paraId="52B079B2" w14:textId="77777777" w:rsidR="00A02693" w:rsidRPr="00A02693" w:rsidRDefault="00A02693" w:rsidP="00A02693">
      <w:pPr>
        <w:spacing w:before="100" w:beforeAutospacing="1" w:after="100" w:afterAutospacing="1"/>
        <w:rPr>
          <w:rFonts w:ascii="Arial" w:hAnsi="Arial" w:cs="Arial"/>
          <w:lang w:val="en-GB"/>
        </w:rPr>
      </w:pPr>
      <w:r w:rsidRPr="00A02693">
        <w:rPr>
          <w:rFonts w:ascii="Arial" w:hAnsi="Arial" w:cs="Arial"/>
          <w:lang w:val="en-GB"/>
        </w:rPr>
        <w:lastRenderedPageBreak/>
        <w:t>Reasonable Adjustments are the respon</w:t>
      </w:r>
      <w:r w:rsidR="00312BB9">
        <w:rPr>
          <w:rFonts w:ascii="Arial" w:hAnsi="Arial" w:cs="Arial"/>
          <w:lang w:val="en-GB"/>
        </w:rPr>
        <w:t xml:space="preserve">sibility of Ashley High </w:t>
      </w:r>
      <w:r w:rsidRPr="00A02693">
        <w:rPr>
          <w:rFonts w:ascii="Arial" w:hAnsi="Arial" w:cs="Arial"/>
          <w:lang w:val="en-GB"/>
        </w:rPr>
        <w:t xml:space="preserve">A reasonable adjustment is intended to allow access to assessment, but can only be granted where the adjustment does not: </w:t>
      </w:r>
    </w:p>
    <w:p w14:paraId="573995A7" w14:textId="77777777" w:rsidR="00A02693" w:rsidRPr="00A02693" w:rsidRDefault="00A02693" w:rsidP="00A02693">
      <w:pPr>
        <w:numPr>
          <w:ilvl w:val="0"/>
          <w:numId w:val="2"/>
        </w:numPr>
        <w:spacing w:before="100" w:beforeAutospacing="1" w:after="100" w:afterAutospacing="1"/>
        <w:rPr>
          <w:rFonts w:ascii="Arial" w:hAnsi="Arial" w:cs="Arial"/>
          <w:lang w:val="en-GB"/>
        </w:rPr>
      </w:pPr>
      <w:r w:rsidRPr="00A02693">
        <w:rPr>
          <w:rFonts w:ascii="Arial" w:hAnsi="Arial" w:cs="Arial"/>
          <w:lang w:val="en-GB"/>
        </w:rPr>
        <w:t>Affect the validity or reliability of the assessmen</w:t>
      </w:r>
      <w:r w:rsidR="00312BB9">
        <w:rPr>
          <w:rFonts w:ascii="Arial" w:hAnsi="Arial" w:cs="Arial"/>
          <w:lang w:val="en-GB"/>
        </w:rPr>
        <w:t>t</w:t>
      </w:r>
    </w:p>
    <w:p w14:paraId="572F0866" w14:textId="77777777" w:rsidR="00A02693" w:rsidRPr="00A02693" w:rsidRDefault="00A02693" w:rsidP="00A02693">
      <w:pPr>
        <w:numPr>
          <w:ilvl w:val="0"/>
          <w:numId w:val="2"/>
        </w:numPr>
        <w:spacing w:before="100" w:beforeAutospacing="1" w:after="100" w:afterAutospacing="1"/>
        <w:rPr>
          <w:rFonts w:ascii="Arial" w:hAnsi="Arial" w:cs="Arial"/>
          <w:lang w:val="en-GB"/>
        </w:rPr>
      </w:pPr>
      <w:proofErr w:type="gramStart"/>
      <w:r w:rsidRPr="00A02693">
        <w:rPr>
          <w:rFonts w:ascii="Arial" w:hAnsi="Arial" w:cs="Arial"/>
          <w:lang w:val="en-GB"/>
        </w:rPr>
        <w:t>give</w:t>
      </w:r>
      <w:proofErr w:type="gramEnd"/>
      <w:r w:rsidRPr="00A02693">
        <w:rPr>
          <w:rFonts w:ascii="Arial" w:hAnsi="Arial" w:cs="Arial"/>
          <w:lang w:val="en-GB"/>
        </w:rPr>
        <w:t xml:space="preserve"> the learner(s) in question an unfair advantage over other learners </w:t>
      </w:r>
    </w:p>
    <w:p w14:paraId="42621E00" w14:textId="77777777" w:rsidR="00A02693" w:rsidRPr="00A02693" w:rsidRDefault="00A02693" w:rsidP="00A02693">
      <w:pPr>
        <w:spacing w:before="100" w:beforeAutospacing="1" w:after="100" w:afterAutospacing="1"/>
        <w:ind w:left="720"/>
        <w:rPr>
          <w:rFonts w:ascii="Arial" w:hAnsi="Arial" w:cs="Arial"/>
          <w:lang w:val="en-GB"/>
        </w:rPr>
      </w:pPr>
      <w:proofErr w:type="gramStart"/>
      <w:r w:rsidRPr="00A02693">
        <w:rPr>
          <w:rFonts w:ascii="Arial" w:hAnsi="Arial" w:cs="Arial"/>
          <w:lang w:val="en-GB"/>
        </w:rPr>
        <w:t>taking</w:t>
      </w:r>
      <w:proofErr w:type="gramEnd"/>
      <w:r w:rsidRPr="00A02693">
        <w:rPr>
          <w:rFonts w:ascii="Arial" w:hAnsi="Arial" w:cs="Arial"/>
          <w:lang w:val="en-GB"/>
        </w:rPr>
        <w:t xml:space="preserve"> the same or similar assessment and/or </w:t>
      </w:r>
    </w:p>
    <w:p w14:paraId="4925C3E3" w14:textId="77777777" w:rsidR="00A02693" w:rsidRPr="00A02693" w:rsidRDefault="00A02693" w:rsidP="00A02693">
      <w:pPr>
        <w:numPr>
          <w:ilvl w:val="0"/>
          <w:numId w:val="2"/>
        </w:numPr>
        <w:spacing w:before="100" w:beforeAutospacing="1" w:after="100" w:afterAutospacing="1"/>
        <w:rPr>
          <w:rFonts w:ascii="Arial" w:hAnsi="Arial" w:cs="Arial"/>
          <w:lang w:val="en-GB"/>
        </w:rPr>
      </w:pPr>
      <w:proofErr w:type="gramStart"/>
      <w:r w:rsidRPr="00A02693">
        <w:rPr>
          <w:rFonts w:ascii="Arial" w:hAnsi="Arial" w:cs="Arial"/>
          <w:lang w:val="en-GB"/>
        </w:rPr>
        <w:t>influence</w:t>
      </w:r>
      <w:proofErr w:type="gramEnd"/>
      <w:r w:rsidRPr="00A02693">
        <w:rPr>
          <w:rFonts w:ascii="Arial" w:hAnsi="Arial" w:cs="Arial"/>
          <w:lang w:val="en-GB"/>
        </w:rPr>
        <w:t xml:space="preserve"> the final outcome of the assessment decision. </w:t>
      </w:r>
    </w:p>
    <w:p w14:paraId="48D8A5CB" w14:textId="77777777" w:rsidR="00A02693" w:rsidRPr="00A02693" w:rsidRDefault="00A02693" w:rsidP="00A02693">
      <w:pPr>
        <w:spacing w:before="100" w:beforeAutospacing="1" w:after="100" w:afterAutospacing="1"/>
        <w:ind w:left="720"/>
        <w:rPr>
          <w:rFonts w:ascii="Arial" w:hAnsi="Arial" w:cs="Arial"/>
          <w:lang w:val="en-GB"/>
        </w:rPr>
      </w:pPr>
      <w:r w:rsidRPr="00A02693">
        <w:rPr>
          <w:rFonts w:ascii="Arial" w:hAnsi="Arial" w:cs="Arial"/>
          <w:lang w:val="en-GB"/>
        </w:rPr>
        <w:t xml:space="preserve">Special consideration </w:t>
      </w:r>
    </w:p>
    <w:p w14:paraId="3A5D3DC7" w14:textId="77777777" w:rsidR="00A02693" w:rsidRPr="00A02693" w:rsidRDefault="00A02693" w:rsidP="00A02693">
      <w:pPr>
        <w:spacing w:before="100" w:beforeAutospacing="1" w:after="100" w:afterAutospacing="1"/>
        <w:ind w:left="720"/>
        <w:rPr>
          <w:rFonts w:ascii="Arial" w:hAnsi="Arial" w:cs="Arial"/>
          <w:lang w:val="en-GB"/>
        </w:rPr>
      </w:pPr>
      <w:r w:rsidRPr="00A02693">
        <w:rPr>
          <w:rFonts w:ascii="Arial" w:hAnsi="Arial" w:cs="Arial"/>
          <w:lang w:val="en-GB"/>
        </w:rPr>
        <w:t xml:space="preserve">Special considerations are different to reasonable adjustments as they apply to a disadvantage that occurs to the learner either just before or during the assessment. Reasons for special consideration could be: </w:t>
      </w:r>
    </w:p>
    <w:p w14:paraId="2617DDC0" w14:textId="77777777" w:rsidR="00A02693" w:rsidRPr="00A02693" w:rsidRDefault="00A02693" w:rsidP="00A02693">
      <w:pPr>
        <w:numPr>
          <w:ilvl w:val="0"/>
          <w:numId w:val="3"/>
        </w:numPr>
        <w:spacing w:before="100" w:beforeAutospacing="1" w:after="100" w:afterAutospacing="1"/>
        <w:rPr>
          <w:rFonts w:ascii="Arial" w:hAnsi="Arial" w:cs="Arial"/>
          <w:lang w:val="en-GB"/>
        </w:rPr>
      </w:pPr>
      <w:r w:rsidRPr="00A02693">
        <w:rPr>
          <w:rFonts w:ascii="Arial" w:hAnsi="Arial" w:cs="Arial"/>
          <w:lang w:val="en-GB"/>
        </w:rPr>
        <w:t xml:space="preserve">Temporary illness; </w:t>
      </w:r>
    </w:p>
    <w:p w14:paraId="7CA2DC26" w14:textId="77777777" w:rsidR="00A02693" w:rsidRPr="00A02693" w:rsidRDefault="00A02693" w:rsidP="00A02693">
      <w:pPr>
        <w:numPr>
          <w:ilvl w:val="0"/>
          <w:numId w:val="3"/>
        </w:numPr>
        <w:spacing w:before="100" w:beforeAutospacing="1" w:after="100" w:afterAutospacing="1"/>
        <w:rPr>
          <w:rFonts w:ascii="Arial" w:hAnsi="Arial" w:cs="Arial"/>
          <w:lang w:val="en-GB"/>
        </w:rPr>
      </w:pPr>
      <w:proofErr w:type="gramStart"/>
      <w:r w:rsidRPr="00A02693">
        <w:rPr>
          <w:rFonts w:ascii="Arial" w:hAnsi="Arial" w:cs="Arial"/>
          <w:lang w:val="en-GB"/>
        </w:rPr>
        <w:t>injury</w:t>
      </w:r>
      <w:proofErr w:type="gramEnd"/>
      <w:r w:rsidRPr="00A02693">
        <w:rPr>
          <w:rFonts w:ascii="Arial" w:hAnsi="Arial" w:cs="Arial"/>
          <w:lang w:val="en-GB"/>
        </w:rPr>
        <w:t xml:space="preserve"> or </w:t>
      </w:r>
    </w:p>
    <w:p w14:paraId="0EE49000" w14:textId="77777777" w:rsidR="00A02693" w:rsidRPr="00A02693" w:rsidRDefault="00A02693" w:rsidP="00A02693">
      <w:pPr>
        <w:numPr>
          <w:ilvl w:val="0"/>
          <w:numId w:val="3"/>
        </w:numPr>
        <w:spacing w:before="100" w:beforeAutospacing="1" w:after="100" w:afterAutospacing="1"/>
        <w:rPr>
          <w:rFonts w:ascii="Arial" w:hAnsi="Arial" w:cs="Arial"/>
          <w:lang w:val="en-GB"/>
        </w:rPr>
      </w:pPr>
      <w:proofErr w:type="gramStart"/>
      <w:r w:rsidRPr="00A02693">
        <w:rPr>
          <w:rFonts w:ascii="Arial" w:hAnsi="Arial" w:cs="Arial"/>
          <w:lang w:val="en-GB"/>
        </w:rPr>
        <w:t>adverse</w:t>
      </w:r>
      <w:proofErr w:type="gramEnd"/>
      <w:r w:rsidRPr="00A02693">
        <w:rPr>
          <w:rFonts w:ascii="Arial" w:hAnsi="Arial" w:cs="Arial"/>
          <w:lang w:val="en-GB"/>
        </w:rPr>
        <w:t xml:space="preserve"> circumstances at the time of the assessment. </w:t>
      </w:r>
    </w:p>
    <w:p w14:paraId="7174FC94" w14:textId="77777777" w:rsidR="00A02693" w:rsidRPr="00A02693" w:rsidRDefault="00A02693" w:rsidP="00A02693">
      <w:pPr>
        <w:spacing w:before="100" w:beforeAutospacing="1" w:after="100" w:afterAutospacing="1"/>
        <w:ind w:left="720"/>
        <w:rPr>
          <w:rFonts w:ascii="Arial" w:hAnsi="Arial" w:cs="Arial"/>
          <w:lang w:val="en-GB"/>
        </w:rPr>
      </w:pPr>
      <w:r w:rsidRPr="00A02693">
        <w:rPr>
          <w:rFonts w:ascii="Arial" w:hAnsi="Arial" w:cs="Arial"/>
          <w:lang w:val="en-GB"/>
        </w:rPr>
        <w:t xml:space="preserve">A learner may be eligible for special consideration if: </w:t>
      </w:r>
    </w:p>
    <w:p w14:paraId="300ABCE4" w14:textId="77777777" w:rsidR="00A02693" w:rsidRPr="00A02693" w:rsidRDefault="00A02693" w:rsidP="00A02693">
      <w:pPr>
        <w:numPr>
          <w:ilvl w:val="0"/>
          <w:numId w:val="4"/>
        </w:numPr>
        <w:spacing w:before="100" w:beforeAutospacing="1" w:after="100" w:afterAutospacing="1"/>
        <w:rPr>
          <w:rFonts w:ascii="Arial" w:hAnsi="Arial" w:cs="Arial"/>
          <w:lang w:val="en-GB"/>
        </w:rPr>
      </w:pPr>
      <w:r w:rsidRPr="00A02693">
        <w:rPr>
          <w:rFonts w:ascii="Arial" w:hAnsi="Arial" w:cs="Arial"/>
          <w:lang w:val="en-GB"/>
        </w:rPr>
        <w:t xml:space="preserve">Their performance in an external assessment is affected by circumstances beyond the control of the learner, e.g. recent personal illness, accident, bereavement, serious disturbance during the assessment or </w:t>
      </w:r>
    </w:p>
    <w:p w14:paraId="26FD4BE0" w14:textId="77777777" w:rsidR="00A02693" w:rsidRPr="00A02693" w:rsidRDefault="00A02693" w:rsidP="00A02693">
      <w:pPr>
        <w:numPr>
          <w:ilvl w:val="0"/>
          <w:numId w:val="4"/>
        </w:numPr>
        <w:spacing w:before="100" w:beforeAutospacing="1" w:after="100" w:afterAutospacing="1"/>
        <w:rPr>
          <w:rFonts w:ascii="Arial" w:hAnsi="Arial" w:cs="Arial"/>
          <w:lang w:val="en-GB"/>
        </w:rPr>
      </w:pPr>
      <w:proofErr w:type="gramStart"/>
      <w:r w:rsidRPr="00A02693">
        <w:rPr>
          <w:rFonts w:ascii="Arial" w:hAnsi="Arial" w:cs="Arial"/>
          <w:lang w:val="en-GB"/>
        </w:rPr>
        <w:t>the</w:t>
      </w:r>
      <w:proofErr w:type="gramEnd"/>
      <w:r w:rsidRPr="00A02693">
        <w:rPr>
          <w:rFonts w:ascii="Arial" w:hAnsi="Arial" w:cs="Arial"/>
          <w:lang w:val="en-GB"/>
        </w:rPr>
        <w:t xml:space="preserve"> alternative assessment arrangements which were agreed in advance of the assessment proved inappropriate or inadequate or </w:t>
      </w:r>
    </w:p>
    <w:p w14:paraId="5E548A11" w14:textId="77777777" w:rsidR="00A02693" w:rsidRPr="00312BB9" w:rsidRDefault="00A02693" w:rsidP="00A02693">
      <w:pPr>
        <w:numPr>
          <w:ilvl w:val="0"/>
          <w:numId w:val="4"/>
        </w:numPr>
        <w:spacing w:before="100" w:beforeAutospacing="1" w:after="100" w:afterAutospacing="1"/>
        <w:rPr>
          <w:rFonts w:ascii="Arial" w:hAnsi="Arial" w:cs="Arial"/>
          <w:lang w:val="en-GB"/>
        </w:rPr>
      </w:pPr>
      <w:proofErr w:type="gramStart"/>
      <w:r w:rsidRPr="00A02693">
        <w:rPr>
          <w:rFonts w:ascii="Arial" w:hAnsi="Arial" w:cs="Arial"/>
          <w:lang w:val="en-GB"/>
        </w:rPr>
        <w:t>any</w:t>
      </w:r>
      <w:proofErr w:type="gramEnd"/>
      <w:r w:rsidRPr="00A02693">
        <w:rPr>
          <w:rFonts w:ascii="Arial" w:hAnsi="Arial" w:cs="Arial"/>
          <w:lang w:val="en-GB"/>
        </w:rPr>
        <w:t xml:space="preserve"> part of an assessment has been missed due to circumstances </w:t>
      </w:r>
      <w:r w:rsidRPr="00312BB9">
        <w:rPr>
          <w:rFonts w:ascii="Arial" w:hAnsi="Arial" w:cs="Arial"/>
          <w:lang w:val="en-GB"/>
        </w:rPr>
        <w:t xml:space="preserve">beyond the control of the learner. </w:t>
      </w:r>
    </w:p>
    <w:p w14:paraId="6C41A921" w14:textId="77777777" w:rsidR="00A02693" w:rsidRPr="00A02693" w:rsidRDefault="00312BB9" w:rsidP="00A02693">
      <w:pPr>
        <w:spacing w:before="100" w:beforeAutospacing="1" w:after="100" w:afterAutospacing="1"/>
        <w:ind w:left="720"/>
        <w:rPr>
          <w:rFonts w:ascii="Arial" w:hAnsi="Arial" w:cs="Arial"/>
          <w:lang w:val="en-GB"/>
        </w:rPr>
      </w:pPr>
      <w:r>
        <w:rPr>
          <w:rFonts w:ascii="Arial" w:hAnsi="Arial" w:cs="Arial"/>
          <w:lang w:val="en-GB"/>
        </w:rPr>
        <w:t xml:space="preserve">Ashley High School </w:t>
      </w:r>
      <w:r w:rsidR="00A02693" w:rsidRPr="00A02693">
        <w:rPr>
          <w:rFonts w:ascii="Arial" w:hAnsi="Arial" w:cs="Arial"/>
          <w:lang w:val="en-GB"/>
        </w:rPr>
        <w:t xml:space="preserve">will submit a written Special Consideration Request to the Joint </w:t>
      </w:r>
      <w:r>
        <w:rPr>
          <w:rFonts w:ascii="Arial" w:hAnsi="Arial" w:cs="Arial"/>
          <w:lang w:val="en-GB"/>
        </w:rPr>
        <w:t>Council for Qualifications</w:t>
      </w:r>
      <w:r w:rsidR="00A02693" w:rsidRPr="00A02693">
        <w:rPr>
          <w:rFonts w:ascii="Arial" w:hAnsi="Arial" w:cs="Arial"/>
          <w:lang w:val="en-GB"/>
        </w:rPr>
        <w:t xml:space="preserve">. However all applications for Special Consideration can only be made on a case-by-case basis and thus separate applications must be made for each learner. </w:t>
      </w:r>
    </w:p>
    <w:p w14:paraId="2E0259F7" w14:textId="77777777" w:rsidR="00A02693" w:rsidRPr="00A02693" w:rsidRDefault="00A02693" w:rsidP="00A02693">
      <w:pPr>
        <w:spacing w:before="100" w:beforeAutospacing="1" w:after="100" w:afterAutospacing="1"/>
        <w:ind w:left="720"/>
        <w:rPr>
          <w:rFonts w:ascii="Arial" w:hAnsi="Arial" w:cs="Arial"/>
          <w:lang w:val="en-GB"/>
        </w:rPr>
      </w:pPr>
      <w:r w:rsidRPr="00A02693">
        <w:rPr>
          <w:rFonts w:ascii="Arial" w:hAnsi="Arial" w:cs="Arial"/>
          <w:lang w:val="en-GB"/>
        </w:rPr>
        <w:t xml:space="preserve">Learners may apply for Special Consideration during or after an assessment, but may not apply for Special Consideration in the case of a permanent disability or learning difficulty. The extent of the adjustment will depend on the actual circumstances during the assessment and will reflect the difficulty faced by the learner. </w:t>
      </w:r>
    </w:p>
    <w:p w14:paraId="2B421FB0" w14:textId="77777777" w:rsidR="00A02693" w:rsidRPr="00A02693" w:rsidRDefault="00A02693">
      <w:pPr>
        <w:rPr>
          <w:rFonts w:ascii="Arial" w:hAnsi="Arial" w:cs="Arial"/>
        </w:rPr>
      </w:pPr>
    </w:p>
    <w:p w14:paraId="22C67D4E" w14:textId="77777777" w:rsidR="00A02693" w:rsidRPr="00A02693" w:rsidRDefault="00A02693">
      <w:pPr>
        <w:rPr>
          <w:rFonts w:ascii="Arial" w:hAnsi="Arial" w:cs="Arial"/>
        </w:rPr>
      </w:pPr>
    </w:p>
    <w:p w14:paraId="33C1CF10" w14:textId="77777777" w:rsidR="00A02693" w:rsidRPr="00A02693" w:rsidRDefault="00A02693">
      <w:pPr>
        <w:rPr>
          <w:rFonts w:ascii="Arial" w:hAnsi="Arial" w:cs="Arial"/>
        </w:rPr>
      </w:pPr>
    </w:p>
    <w:p w14:paraId="2D31555B" w14:textId="77777777" w:rsidR="00A02693" w:rsidRDefault="00A02693"/>
    <w:p w14:paraId="58A454E8" w14:textId="77777777" w:rsidR="00A02693" w:rsidRDefault="00A02693"/>
    <w:p w14:paraId="335A21BF" w14:textId="77777777" w:rsidR="00A02693" w:rsidRDefault="00A02693"/>
    <w:sectPr w:rsidR="00A02693" w:rsidSect="00204399">
      <w:pgSz w:w="11901" w:h="16817"/>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658EC"/>
    <w:multiLevelType w:val="multilevel"/>
    <w:tmpl w:val="3DF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0E2D5A"/>
    <w:multiLevelType w:val="multilevel"/>
    <w:tmpl w:val="04A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40655D"/>
    <w:multiLevelType w:val="multilevel"/>
    <w:tmpl w:val="B9F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240A0C"/>
    <w:multiLevelType w:val="multilevel"/>
    <w:tmpl w:val="43D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93"/>
    <w:rsid w:val="00204399"/>
    <w:rsid w:val="00312BB9"/>
    <w:rsid w:val="00596866"/>
    <w:rsid w:val="00A02693"/>
    <w:rsid w:val="00A54B87"/>
    <w:rsid w:val="00C40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9B76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693"/>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693"/>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977933">
      <w:bodyDiv w:val="1"/>
      <w:marLeft w:val="0"/>
      <w:marRight w:val="0"/>
      <w:marTop w:val="0"/>
      <w:marBottom w:val="0"/>
      <w:divBdr>
        <w:top w:val="none" w:sz="0" w:space="0" w:color="auto"/>
        <w:left w:val="none" w:sz="0" w:space="0" w:color="auto"/>
        <w:bottom w:val="none" w:sz="0" w:space="0" w:color="auto"/>
        <w:right w:val="none" w:sz="0" w:space="0" w:color="auto"/>
      </w:divBdr>
      <w:divsChild>
        <w:div w:id="1683900103">
          <w:marLeft w:val="0"/>
          <w:marRight w:val="0"/>
          <w:marTop w:val="0"/>
          <w:marBottom w:val="0"/>
          <w:divBdr>
            <w:top w:val="none" w:sz="0" w:space="0" w:color="auto"/>
            <w:left w:val="none" w:sz="0" w:space="0" w:color="auto"/>
            <w:bottom w:val="none" w:sz="0" w:space="0" w:color="auto"/>
            <w:right w:val="none" w:sz="0" w:space="0" w:color="auto"/>
          </w:divBdr>
          <w:divsChild>
            <w:div w:id="1527132773">
              <w:marLeft w:val="0"/>
              <w:marRight w:val="0"/>
              <w:marTop w:val="0"/>
              <w:marBottom w:val="0"/>
              <w:divBdr>
                <w:top w:val="none" w:sz="0" w:space="0" w:color="auto"/>
                <w:left w:val="none" w:sz="0" w:space="0" w:color="auto"/>
                <w:bottom w:val="none" w:sz="0" w:space="0" w:color="auto"/>
                <w:right w:val="none" w:sz="0" w:space="0" w:color="auto"/>
              </w:divBdr>
              <w:divsChild>
                <w:div w:id="1070032312">
                  <w:marLeft w:val="0"/>
                  <w:marRight w:val="0"/>
                  <w:marTop w:val="0"/>
                  <w:marBottom w:val="0"/>
                  <w:divBdr>
                    <w:top w:val="none" w:sz="0" w:space="0" w:color="auto"/>
                    <w:left w:val="none" w:sz="0" w:space="0" w:color="auto"/>
                    <w:bottom w:val="none" w:sz="0" w:space="0" w:color="auto"/>
                    <w:right w:val="none" w:sz="0" w:space="0" w:color="auto"/>
                  </w:divBdr>
                  <w:divsChild>
                    <w:div w:id="19271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43687">
      <w:bodyDiv w:val="1"/>
      <w:marLeft w:val="0"/>
      <w:marRight w:val="0"/>
      <w:marTop w:val="0"/>
      <w:marBottom w:val="0"/>
      <w:divBdr>
        <w:top w:val="none" w:sz="0" w:space="0" w:color="auto"/>
        <w:left w:val="none" w:sz="0" w:space="0" w:color="auto"/>
        <w:bottom w:val="none" w:sz="0" w:space="0" w:color="auto"/>
        <w:right w:val="none" w:sz="0" w:space="0" w:color="auto"/>
      </w:divBdr>
      <w:divsChild>
        <w:div w:id="6257371">
          <w:marLeft w:val="0"/>
          <w:marRight w:val="0"/>
          <w:marTop w:val="0"/>
          <w:marBottom w:val="0"/>
          <w:divBdr>
            <w:top w:val="none" w:sz="0" w:space="0" w:color="auto"/>
            <w:left w:val="none" w:sz="0" w:space="0" w:color="auto"/>
            <w:bottom w:val="none" w:sz="0" w:space="0" w:color="auto"/>
            <w:right w:val="none" w:sz="0" w:space="0" w:color="auto"/>
          </w:divBdr>
          <w:divsChild>
            <w:div w:id="1900240889">
              <w:marLeft w:val="0"/>
              <w:marRight w:val="0"/>
              <w:marTop w:val="0"/>
              <w:marBottom w:val="0"/>
              <w:divBdr>
                <w:top w:val="none" w:sz="0" w:space="0" w:color="auto"/>
                <w:left w:val="none" w:sz="0" w:space="0" w:color="auto"/>
                <w:bottom w:val="none" w:sz="0" w:space="0" w:color="auto"/>
                <w:right w:val="none" w:sz="0" w:space="0" w:color="auto"/>
              </w:divBdr>
              <w:divsChild>
                <w:div w:id="7940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4692">
          <w:marLeft w:val="0"/>
          <w:marRight w:val="0"/>
          <w:marTop w:val="0"/>
          <w:marBottom w:val="0"/>
          <w:divBdr>
            <w:top w:val="none" w:sz="0" w:space="0" w:color="auto"/>
            <w:left w:val="none" w:sz="0" w:space="0" w:color="auto"/>
            <w:bottom w:val="none" w:sz="0" w:space="0" w:color="auto"/>
            <w:right w:val="none" w:sz="0" w:space="0" w:color="auto"/>
          </w:divBdr>
          <w:divsChild>
            <w:div w:id="20984433">
              <w:marLeft w:val="0"/>
              <w:marRight w:val="0"/>
              <w:marTop w:val="0"/>
              <w:marBottom w:val="0"/>
              <w:divBdr>
                <w:top w:val="none" w:sz="0" w:space="0" w:color="auto"/>
                <w:left w:val="none" w:sz="0" w:space="0" w:color="auto"/>
                <w:bottom w:val="none" w:sz="0" w:space="0" w:color="auto"/>
                <w:right w:val="none" w:sz="0" w:space="0" w:color="auto"/>
              </w:divBdr>
              <w:divsChild>
                <w:div w:id="9040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Macintosh Word</Application>
  <DocSecurity>0</DocSecurity>
  <Lines>25</Lines>
  <Paragraphs>7</Paragraphs>
  <ScaleCrop>false</ScaleCrop>
  <Company>Ashley</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2</cp:revision>
  <dcterms:created xsi:type="dcterms:W3CDTF">2018-07-18T13:27:00Z</dcterms:created>
  <dcterms:modified xsi:type="dcterms:W3CDTF">2018-07-18T13:27:00Z</dcterms:modified>
</cp:coreProperties>
</file>