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686"/>
        <w:gridCol w:w="1593"/>
        <w:gridCol w:w="12280"/>
      </w:tblGrid>
      <w:tr w:rsidR="00564E03" w:rsidRPr="00AC466F" w14:paraId="3DD6F30E" w14:textId="77777777" w:rsidTr="007F64FE">
        <w:tc>
          <w:tcPr>
            <w:tcW w:w="3279" w:type="dxa"/>
            <w:gridSpan w:val="2"/>
            <w:shd w:val="clear" w:color="auto" w:fill="FDE9D9" w:themeFill="accent6" w:themeFillTint="33"/>
            <w:vAlign w:val="center"/>
          </w:tcPr>
          <w:p w14:paraId="0C438C68" w14:textId="77777777" w:rsidR="00564E03" w:rsidRPr="009340D8" w:rsidRDefault="00564E03" w:rsidP="001A6CA3">
            <w:pPr>
              <w:jc w:val="center"/>
              <w:rPr>
                <w:b/>
                <w:sz w:val="20"/>
                <w:szCs w:val="20"/>
              </w:rPr>
            </w:pPr>
          </w:p>
          <w:p w14:paraId="166E30B9" w14:textId="77777777" w:rsidR="00564E03" w:rsidRPr="00AC466F" w:rsidRDefault="00564E03" w:rsidP="001A6CA3">
            <w:pPr>
              <w:jc w:val="center"/>
              <w:rPr>
                <w:b/>
                <w:sz w:val="20"/>
                <w:szCs w:val="20"/>
              </w:rPr>
            </w:pPr>
            <w:r w:rsidRPr="00AC466F">
              <w:rPr>
                <w:b/>
                <w:sz w:val="20"/>
                <w:szCs w:val="20"/>
              </w:rPr>
              <w:t>YEAR 14</w:t>
            </w:r>
          </w:p>
          <w:p w14:paraId="1C4FF2DD" w14:textId="77777777" w:rsidR="00564E03" w:rsidRPr="00AC466F" w:rsidRDefault="00564E03" w:rsidP="001A6CA3">
            <w:pPr>
              <w:jc w:val="center"/>
              <w:rPr>
                <w:b/>
                <w:sz w:val="20"/>
                <w:szCs w:val="20"/>
              </w:rPr>
            </w:pPr>
          </w:p>
        </w:tc>
        <w:tc>
          <w:tcPr>
            <w:tcW w:w="12280" w:type="dxa"/>
            <w:shd w:val="clear" w:color="auto" w:fill="FDE9D9" w:themeFill="accent6" w:themeFillTint="33"/>
            <w:vAlign w:val="center"/>
          </w:tcPr>
          <w:p w14:paraId="3E202687" w14:textId="77777777" w:rsidR="00564E03" w:rsidRDefault="00564E03" w:rsidP="001A6CA3">
            <w:pPr>
              <w:jc w:val="center"/>
              <w:rPr>
                <w:b/>
                <w:sz w:val="20"/>
                <w:szCs w:val="20"/>
              </w:rPr>
            </w:pPr>
          </w:p>
          <w:p w14:paraId="0165EC00" w14:textId="3E1B7339" w:rsidR="00564E03" w:rsidRPr="00AC466F" w:rsidRDefault="00564E03" w:rsidP="001A6CA3">
            <w:pPr>
              <w:jc w:val="center"/>
              <w:rPr>
                <w:b/>
                <w:sz w:val="20"/>
                <w:szCs w:val="20"/>
              </w:rPr>
            </w:pPr>
            <w:r w:rsidRPr="00AC466F">
              <w:rPr>
                <w:b/>
                <w:sz w:val="20"/>
                <w:szCs w:val="20"/>
              </w:rPr>
              <w:t xml:space="preserve">Autumn </w:t>
            </w:r>
          </w:p>
          <w:p w14:paraId="5D8B2352" w14:textId="77777777" w:rsidR="00564E03" w:rsidRPr="00AC466F" w:rsidRDefault="00564E03" w:rsidP="00564E03">
            <w:pPr>
              <w:rPr>
                <w:b/>
                <w:sz w:val="20"/>
                <w:szCs w:val="20"/>
              </w:rPr>
            </w:pPr>
          </w:p>
        </w:tc>
      </w:tr>
      <w:tr w:rsidR="004273C8" w:rsidRPr="00AC466F" w14:paraId="3C28B54E" w14:textId="77777777" w:rsidTr="005726BC">
        <w:tc>
          <w:tcPr>
            <w:tcW w:w="1686" w:type="dxa"/>
          </w:tcPr>
          <w:p w14:paraId="7A3739FF" w14:textId="77777777" w:rsidR="004273C8" w:rsidRPr="00AC466F" w:rsidRDefault="004273C8" w:rsidP="001A6CA3">
            <w:pPr>
              <w:jc w:val="center"/>
              <w:rPr>
                <w:sz w:val="20"/>
                <w:szCs w:val="20"/>
              </w:rPr>
            </w:pPr>
            <w:r w:rsidRPr="00AC466F">
              <w:rPr>
                <w:noProof/>
                <w:sz w:val="20"/>
                <w:szCs w:val="20"/>
                <w:lang w:eastAsia="en-GB"/>
              </w:rPr>
              <w:drawing>
                <wp:inline distT="0" distB="0" distL="0" distR="0" wp14:anchorId="1CC2F326" wp14:editId="7DF6CAFF">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3" w:type="dxa"/>
            <w:vAlign w:val="center"/>
          </w:tcPr>
          <w:p w14:paraId="33B8EAA4" w14:textId="77777777" w:rsidR="004273C8" w:rsidRPr="00AC466F" w:rsidRDefault="004273C8" w:rsidP="001A6CA3">
            <w:pPr>
              <w:jc w:val="center"/>
              <w:rPr>
                <w:b/>
                <w:sz w:val="20"/>
                <w:szCs w:val="20"/>
              </w:rPr>
            </w:pPr>
            <w:r w:rsidRPr="00AC466F">
              <w:rPr>
                <w:b/>
                <w:sz w:val="20"/>
                <w:szCs w:val="20"/>
              </w:rPr>
              <w:t>Rights of the Child</w:t>
            </w:r>
          </w:p>
        </w:tc>
        <w:tc>
          <w:tcPr>
            <w:tcW w:w="12280" w:type="dxa"/>
            <w:vAlign w:val="center"/>
          </w:tcPr>
          <w:p w14:paraId="580E6AEC" w14:textId="77777777" w:rsidR="004273C8" w:rsidRPr="00AC466F" w:rsidRDefault="004273C8" w:rsidP="001A6CA3">
            <w:pPr>
              <w:jc w:val="center"/>
              <w:rPr>
                <w:sz w:val="20"/>
                <w:szCs w:val="20"/>
              </w:rPr>
            </w:pPr>
            <w:r w:rsidRPr="00AC466F">
              <w:rPr>
                <w:b/>
                <w:color w:val="0070C0"/>
                <w:sz w:val="20"/>
                <w:szCs w:val="20"/>
              </w:rPr>
              <w:t>Article 29 (goals of education)</w:t>
            </w:r>
            <w:r w:rsidRPr="00AC466F">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564E03" w:rsidRPr="00AC466F" w14:paraId="7E145F0E" w14:textId="77777777" w:rsidTr="00EA2210">
        <w:tc>
          <w:tcPr>
            <w:tcW w:w="1686" w:type="dxa"/>
            <w:vAlign w:val="center"/>
          </w:tcPr>
          <w:p w14:paraId="00C03573" w14:textId="77777777" w:rsidR="00564E03" w:rsidRPr="00AC466F" w:rsidRDefault="00564E03" w:rsidP="001A6CA3">
            <w:pPr>
              <w:rPr>
                <w:sz w:val="20"/>
                <w:szCs w:val="20"/>
              </w:rPr>
            </w:pPr>
            <w:r w:rsidRPr="00AC466F">
              <w:rPr>
                <w:noProof/>
                <w:sz w:val="20"/>
                <w:szCs w:val="20"/>
                <w:lang w:eastAsia="en-GB"/>
              </w:rPr>
              <w:drawing>
                <wp:inline distT="0" distB="0" distL="0" distR="0" wp14:anchorId="7FD6A2CD" wp14:editId="68309093">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2279" cy="561110"/>
                          </a:xfrm>
                          <a:prstGeom prst="rect">
                            <a:avLst/>
                          </a:prstGeom>
                        </pic:spPr>
                      </pic:pic>
                    </a:graphicData>
                  </a:graphic>
                </wp:inline>
              </w:drawing>
            </w:r>
          </w:p>
        </w:tc>
        <w:tc>
          <w:tcPr>
            <w:tcW w:w="1593" w:type="dxa"/>
            <w:vAlign w:val="center"/>
          </w:tcPr>
          <w:p w14:paraId="68CF3486" w14:textId="77777777" w:rsidR="00564E03" w:rsidRPr="00AC466F" w:rsidRDefault="00564E03" w:rsidP="001A6CA3">
            <w:pPr>
              <w:jc w:val="center"/>
              <w:rPr>
                <w:b/>
                <w:sz w:val="20"/>
                <w:szCs w:val="20"/>
              </w:rPr>
            </w:pPr>
            <w:r w:rsidRPr="00AC466F">
              <w:rPr>
                <w:b/>
                <w:sz w:val="20"/>
                <w:szCs w:val="20"/>
              </w:rPr>
              <w:t>English</w:t>
            </w:r>
          </w:p>
        </w:tc>
        <w:tc>
          <w:tcPr>
            <w:tcW w:w="12280" w:type="dxa"/>
            <w:vAlign w:val="center"/>
          </w:tcPr>
          <w:p w14:paraId="17008AD3" w14:textId="77777777" w:rsidR="009E2682" w:rsidRPr="00B05F15" w:rsidRDefault="009E2682" w:rsidP="009E2682">
            <w:pPr>
              <w:jc w:val="center"/>
              <w:rPr>
                <w:sz w:val="20"/>
                <w:szCs w:val="20"/>
              </w:rPr>
            </w:pPr>
            <w:r w:rsidRPr="00B05F15">
              <w:rPr>
                <w:b/>
                <w:sz w:val="20"/>
                <w:szCs w:val="20"/>
              </w:rPr>
              <w:t>6</w:t>
            </w:r>
            <w:r w:rsidRPr="00B05F15">
              <w:rPr>
                <w:b/>
                <w:sz w:val="20"/>
                <w:szCs w:val="20"/>
                <w:vertAlign w:val="superscript"/>
              </w:rPr>
              <w:t>th</w:t>
            </w:r>
            <w:r w:rsidRPr="00B05F15">
              <w:rPr>
                <w:b/>
                <w:sz w:val="20"/>
                <w:szCs w:val="20"/>
              </w:rPr>
              <w:t xml:space="preserve"> Form (U) – </w:t>
            </w:r>
            <w:r w:rsidRPr="00B05F15">
              <w:rPr>
                <w:sz w:val="20"/>
                <w:szCs w:val="20"/>
              </w:rPr>
              <w:t>Functional Skills Level 2 – Spoken Language Skills &amp; Reading Skills</w:t>
            </w:r>
          </w:p>
          <w:p w14:paraId="0ADA8DE8" w14:textId="77777777" w:rsidR="009E2682" w:rsidRPr="00A02C35" w:rsidRDefault="009E2682" w:rsidP="009E2682">
            <w:pPr>
              <w:jc w:val="center"/>
              <w:rPr>
                <w:sz w:val="20"/>
                <w:szCs w:val="20"/>
              </w:rPr>
            </w:pPr>
            <w:r w:rsidRPr="00B05F15">
              <w:rPr>
                <w:b/>
                <w:sz w:val="20"/>
                <w:szCs w:val="20"/>
              </w:rPr>
              <w:t>6</w:t>
            </w:r>
            <w:r w:rsidRPr="00B05F15">
              <w:rPr>
                <w:b/>
                <w:sz w:val="20"/>
                <w:szCs w:val="20"/>
                <w:vertAlign w:val="superscript"/>
              </w:rPr>
              <w:t>th</w:t>
            </w:r>
            <w:r w:rsidRPr="00B05F15">
              <w:rPr>
                <w:b/>
                <w:sz w:val="20"/>
                <w:szCs w:val="20"/>
              </w:rPr>
              <w:t xml:space="preserve"> Form (L) - </w:t>
            </w:r>
            <w:r w:rsidRPr="00B05F15">
              <w:rPr>
                <w:sz w:val="20"/>
                <w:szCs w:val="20"/>
              </w:rPr>
              <w:t xml:space="preserve"> Functional Skills Level 1 – Spoken Language Skills &amp; Reading Skills</w:t>
            </w:r>
          </w:p>
          <w:p w14:paraId="5F709BC3" w14:textId="26D36619" w:rsidR="00F009DF" w:rsidRPr="00CE4C18" w:rsidRDefault="00F009DF" w:rsidP="00773EF4">
            <w:pPr>
              <w:jc w:val="center"/>
              <w:rPr>
                <w:sz w:val="20"/>
                <w:szCs w:val="20"/>
              </w:rPr>
            </w:pPr>
          </w:p>
        </w:tc>
      </w:tr>
      <w:tr w:rsidR="00564E03" w:rsidRPr="00AC466F" w14:paraId="06B0DCF5" w14:textId="77777777" w:rsidTr="007D705A">
        <w:tc>
          <w:tcPr>
            <w:tcW w:w="1686" w:type="dxa"/>
            <w:vAlign w:val="center"/>
          </w:tcPr>
          <w:p w14:paraId="6E8F8668" w14:textId="77777777" w:rsidR="00564E03" w:rsidRPr="00AC466F" w:rsidRDefault="00564E03" w:rsidP="001A6CA3">
            <w:pPr>
              <w:jc w:val="center"/>
              <w:rPr>
                <w:sz w:val="20"/>
                <w:szCs w:val="20"/>
              </w:rPr>
            </w:pPr>
            <w:r w:rsidRPr="00AC466F">
              <w:rPr>
                <w:noProof/>
                <w:sz w:val="20"/>
                <w:szCs w:val="20"/>
                <w:lang w:eastAsia="en-GB"/>
              </w:rPr>
              <w:drawing>
                <wp:inline distT="0" distB="0" distL="0" distR="0" wp14:anchorId="2A274C38" wp14:editId="40A3BAA3">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3" w:type="dxa"/>
            <w:vAlign w:val="center"/>
          </w:tcPr>
          <w:p w14:paraId="13243A65" w14:textId="77777777" w:rsidR="00564E03" w:rsidRPr="00AC466F" w:rsidRDefault="00564E03" w:rsidP="001A6CA3">
            <w:pPr>
              <w:jc w:val="center"/>
              <w:rPr>
                <w:b/>
                <w:sz w:val="20"/>
                <w:szCs w:val="20"/>
              </w:rPr>
            </w:pPr>
            <w:r w:rsidRPr="00AC466F">
              <w:rPr>
                <w:b/>
                <w:sz w:val="20"/>
                <w:szCs w:val="20"/>
              </w:rPr>
              <w:t>Maths</w:t>
            </w:r>
          </w:p>
        </w:tc>
        <w:tc>
          <w:tcPr>
            <w:tcW w:w="12280" w:type="dxa"/>
            <w:vAlign w:val="center"/>
          </w:tcPr>
          <w:p w14:paraId="156CB7B7" w14:textId="77777777" w:rsidR="009D6B11" w:rsidRPr="00B05F15" w:rsidRDefault="009D6B11" w:rsidP="009D6B11">
            <w:pPr>
              <w:jc w:val="center"/>
              <w:rPr>
                <w:sz w:val="20"/>
                <w:szCs w:val="20"/>
              </w:rPr>
            </w:pPr>
            <w:r w:rsidRPr="00B05F15">
              <w:rPr>
                <w:b/>
                <w:bCs/>
                <w:sz w:val="20"/>
                <w:szCs w:val="20"/>
              </w:rPr>
              <w:t xml:space="preserve">Level 1 – </w:t>
            </w:r>
            <w:r w:rsidRPr="00B05F15">
              <w:rPr>
                <w:sz w:val="20"/>
                <w:szCs w:val="20"/>
              </w:rPr>
              <w:t xml:space="preserve">Maths skills qualification – a selection of modules including Handling Data  </w:t>
            </w:r>
          </w:p>
          <w:p w14:paraId="4ACBC77D" w14:textId="37D00D68" w:rsidR="00F009DF" w:rsidRPr="00CE4C18" w:rsidRDefault="0065696B" w:rsidP="008916DC">
            <w:pPr>
              <w:jc w:val="center"/>
              <w:rPr>
                <w:sz w:val="20"/>
                <w:szCs w:val="20"/>
              </w:rPr>
            </w:pPr>
            <w:r w:rsidRPr="00B05F15">
              <w:rPr>
                <w:b/>
                <w:bCs/>
                <w:sz w:val="20"/>
                <w:szCs w:val="20"/>
              </w:rPr>
              <w:t xml:space="preserve">Entry </w:t>
            </w:r>
            <w:r w:rsidR="008916DC" w:rsidRPr="00B05F15">
              <w:rPr>
                <w:b/>
                <w:bCs/>
                <w:sz w:val="20"/>
                <w:szCs w:val="20"/>
              </w:rPr>
              <w:t>3</w:t>
            </w:r>
            <w:r w:rsidR="00F009DF" w:rsidRPr="00B05F15">
              <w:rPr>
                <w:b/>
                <w:bCs/>
                <w:sz w:val="20"/>
                <w:szCs w:val="20"/>
              </w:rPr>
              <w:t xml:space="preserve"> – </w:t>
            </w:r>
            <w:proofErr w:type="spellStart"/>
            <w:r w:rsidR="008916DC" w:rsidRPr="00B05F15">
              <w:rPr>
                <w:bCs/>
                <w:sz w:val="20"/>
                <w:szCs w:val="20"/>
              </w:rPr>
              <w:t>Ascentis</w:t>
            </w:r>
            <w:proofErr w:type="spellEnd"/>
            <w:r w:rsidR="008916DC" w:rsidRPr="00B05F15">
              <w:rPr>
                <w:b/>
                <w:bCs/>
                <w:sz w:val="20"/>
                <w:szCs w:val="20"/>
              </w:rPr>
              <w:t xml:space="preserve"> </w:t>
            </w:r>
            <w:r w:rsidR="00F009DF" w:rsidRPr="00B05F15">
              <w:rPr>
                <w:sz w:val="20"/>
                <w:szCs w:val="20"/>
              </w:rPr>
              <w:t xml:space="preserve">Maths skills qualification – a selection of modules </w:t>
            </w:r>
            <w:r w:rsidRPr="00B05F15">
              <w:rPr>
                <w:sz w:val="20"/>
                <w:szCs w:val="20"/>
              </w:rPr>
              <w:t xml:space="preserve">including </w:t>
            </w:r>
            <w:r w:rsidR="008916DC" w:rsidRPr="00B05F15">
              <w:rPr>
                <w:sz w:val="20"/>
                <w:szCs w:val="20"/>
              </w:rPr>
              <w:t>addition &amp; subtractions skills, multiplying whole numbers</w:t>
            </w:r>
            <w:r w:rsidR="008916DC">
              <w:rPr>
                <w:sz w:val="20"/>
                <w:szCs w:val="20"/>
              </w:rPr>
              <w:t xml:space="preserve"> </w:t>
            </w:r>
            <w:r w:rsidRPr="00CE4C18">
              <w:rPr>
                <w:sz w:val="20"/>
                <w:szCs w:val="20"/>
              </w:rPr>
              <w:t xml:space="preserve">  </w:t>
            </w:r>
          </w:p>
        </w:tc>
      </w:tr>
      <w:tr w:rsidR="00564E03" w:rsidRPr="00AC466F" w14:paraId="6B1763E5" w14:textId="77777777" w:rsidTr="00483D37">
        <w:trPr>
          <w:trHeight w:val="994"/>
        </w:trPr>
        <w:tc>
          <w:tcPr>
            <w:tcW w:w="1686" w:type="dxa"/>
            <w:vAlign w:val="center"/>
          </w:tcPr>
          <w:p w14:paraId="293B98B0" w14:textId="77777777" w:rsidR="00564E03" w:rsidRPr="00AC466F" w:rsidRDefault="00564E03" w:rsidP="003A7D76">
            <w:pPr>
              <w:rPr>
                <w:sz w:val="20"/>
                <w:szCs w:val="20"/>
              </w:rPr>
            </w:pPr>
            <w:r w:rsidRPr="00AC466F">
              <w:rPr>
                <w:rFonts w:ascii="Arial" w:hAnsi="Arial" w:cs="Arial"/>
                <w:noProof/>
                <w:color w:val="0000FF"/>
                <w:sz w:val="27"/>
                <w:szCs w:val="27"/>
                <w:shd w:val="clear" w:color="auto" w:fill="FFFFFF"/>
                <w:lang w:eastAsia="en-GB"/>
              </w:rPr>
              <w:drawing>
                <wp:anchor distT="0" distB="0" distL="114300" distR="114300" simplePos="0" relativeHeight="251671552" behindDoc="1" locked="0" layoutInCell="1" allowOverlap="1" wp14:anchorId="38125127" wp14:editId="31C029B9">
                  <wp:simplePos x="0" y="0"/>
                  <wp:positionH relativeFrom="column">
                    <wp:posOffset>107315</wp:posOffset>
                  </wp:positionH>
                  <wp:positionV relativeFrom="paragraph">
                    <wp:posOffset>-619760</wp:posOffset>
                  </wp:positionV>
                  <wp:extent cx="619125" cy="610235"/>
                  <wp:effectExtent l="0" t="0" r="9525" b="0"/>
                  <wp:wrapTight wrapText="bothSides">
                    <wp:wrapPolygon edited="0">
                      <wp:start x="0" y="0"/>
                      <wp:lineTo x="0" y="20903"/>
                      <wp:lineTo x="21268" y="20903"/>
                      <wp:lineTo x="21268" y="0"/>
                      <wp:lineTo x="0" y="0"/>
                    </wp:wrapPolygon>
                  </wp:wrapTight>
                  <wp:docPr id="15" name="Picture 15" descr="Image result for employ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ability clip 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3" w:type="dxa"/>
            <w:vAlign w:val="center"/>
          </w:tcPr>
          <w:p w14:paraId="6E5D6C87" w14:textId="77777777" w:rsidR="00564E03" w:rsidRPr="00AC466F" w:rsidRDefault="00564E03" w:rsidP="003A7D76">
            <w:pPr>
              <w:jc w:val="center"/>
              <w:rPr>
                <w:b/>
                <w:sz w:val="20"/>
                <w:szCs w:val="20"/>
              </w:rPr>
            </w:pPr>
            <w:r w:rsidRPr="00AC466F">
              <w:rPr>
                <w:b/>
                <w:sz w:val="20"/>
                <w:szCs w:val="20"/>
              </w:rPr>
              <w:t>Employability</w:t>
            </w:r>
          </w:p>
          <w:p w14:paraId="11197A05" w14:textId="2D98B613" w:rsidR="00564E03" w:rsidRPr="00AC466F" w:rsidRDefault="007160DF" w:rsidP="007160DF">
            <w:pPr>
              <w:jc w:val="center"/>
              <w:rPr>
                <w:b/>
                <w:sz w:val="20"/>
                <w:szCs w:val="20"/>
              </w:rPr>
            </w:pPr>
            <w:r>
              <w:rPr>
                <w:b/>
                <w:sz w:val="20"/>
                <w:szCs w:val="20"/>
              </w:rPr>
              <w:t>Level 1</w:t>
            </w:r>
          </w:p>
        </w:tc>
        <w:tc>
          <w:tcPr>
            <w:tcW w:w="12280" w:type="dxa"/>
            <w:vAlign w:val="center"/>
          </w:tcPr>
          <w:p w14:paraId="6E863709" w14:textId="77777777" w:rsidR="00564E03" w:rsidRPr="00B05F15" w:rsidRDefault="007160DF" w:rsidP="00DF6834">
            <w:pPr>
              <w:jc w:val="center"/>
              <w:rPr>
                <w:sz w:val="20"/>
                <w:szCs w:val="20"/>
              </w:rPr>
            </w:pPr>
            <w:r w:rsidRPr="00B05F15">
              <w:rPr>
                <w:sz w:val="20"/>
                <w:szCs w:val="20"/>
              </w:rPr>
              <w:t>Award - Developing Own Interpersonal Skills</w:t>
            </w:r>
          </w:p>
          <w:p w14:paraId="470021A4" w14:textId="0339755A" w:rsidR="007160DF" w:rsidRPr="00CE4C18" w:rsidRDefault="007160DF" w:rsidP="00DF6834">
            <w:pPr>
              <w:jc w:val="center"/>
              <w:rPr>
                <w:sz w:val="20"/>
                <w:szCs w:val="20"/>
              </w:rPr>
            </w:pPr>
            <w:r w:rsidRPr="00B05F15">
              <w:rPr>
                <w:sz w:val="20"/>
                <w:szCs w:val="20"/>
              </w:rPr>
              <w:t>Certificate/Extended Certificate – Health, Safety and First Aid</w:t>
            </w:r>
          </w:p>
        </w:tc>
      </w:tr>
      <w:tr w:rsidR="00564E03" w:rsidRPr="00AC466F" w14:paraId="62A39E83" w14:textId="77777777" w:rsidTr="00232BCA">
        <w:tc>
          <w:tcPr>
            <w:tcW w:w="1686" w:type="dxa"/>
            <w:vAlign w:val="center"/>
          </w:tcPr>
          <w:p w14:paraId="318DB7F7" w14:textId="77777777" w:rsidR="00564E03" w:rsidRPr="00AC466F" w:rsidRDefault="00564E03" w:rsidP="003A7D76">
            <w:pPr>
              <w:jc w:val="center"/>
              <w:rPr>
                <w:sz w:val="20"/>
                <w:szCs w:val="20"/>
              </w:rPr>
            </w:pPr>
            <w:r w:rsidRPr="00AC466F">
              <w:rPr>
                <w:rFonts w:ascii="Arial" w:hAnsi="Arial" w:cs="Arial"/>
                <w:noProof/>
                <w:color w:val="0000FF"/>
                <w:sz w:val="27"/>
                <w:szCs w:val="27"/>
                <w:shd w:val="clear" w:color="auto" w:fill="FFFFFF"/>
                <w:lang w:eastAsia="en-GB"/>
              </w:rPr>
              <w:drawing>
                <wp:anchor distT="0" distB="0" distL="114300" distR="114300" simplePos="0" relativeHeight="251675648" behindDoc="1" locked="0" layoutInCell="1" allowOverlap="1" wp14:anchorId="656E33A2" wp14:editId="4FBFBB19">
                  <wp:simplePos x="0" y="0"/>
                  <wp:positionH relativeFrom="column">
                    <wp:posOffset>3810</wp:posOffset>
                  </wp:positionH>
                  <wp:positionV relativeFrom="paragraph">
                    <wp:posOffset>-409575</wp:posOffset>
                  </wp:positionV>
                  <wp:extent cx="933450" cy="542925"/>
                  <wp:effectExtent l="0" t="0" r="0" b="9525"/>
                  <wp:wrapTight wrapText="bothSides">
                    <wp:wrapPolygon edited="0">
                      <wp:start x="0" y="0"/>
                      <wp:lineTo x="0" y="21221"/>
                      <wp:lineTo x="21159" y="21221"/>
                      <wp:lineTo x="21159" y="0"/>
                      <wp:lineTo x="0" y="0"/>
                    </wp:wrapPolygon>
                  </wp:wrapTight>
                  <wp:docPr id="4" name="Picture 4" descr="Image result for Preparing for adult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paring for adulthoo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3" w:type="dxa"/>
            <w:vAlign w:val="center"/>
          </w:tcPr>
          <w:p w14:paraId="24D75BB8" w14:textId="77777777" w:rsidR="00564E03" w:rsidRPr="00AC466F" w:rsidRDefault="00564E03" w:rsidP="003A7D76">
            <w:pPr>
              <w:jc w:val="center"/>
              <w:rPr>
                <w:b/>
                <w:sz w:val="20"/>
                <w:szCs w:val="20"/>
              </w:rPr>
            </w:pPr>
            <w:r w:rsidRPr="00AC466F">
              <w:rPr>
                <w:b/>
                <w:sz w:val="20"/>
                <w:szCs w:val="20"/>
              </w:rPr>
              <w:t>Preparing for Adulthood</w:t>
            </w:r>
          </w:p>
        </w:tc>
        <w:tc>
          <w:tcPr>
            <w:tcW w:w="12280" w:type="dxa"/>
            <w:vAlign w:val="center"/>
          </w:tcPr>
          <w:p w14:paraId="0AB34B2A" w14:textId="54CBFABC" w:rsidR="00564E03" w:rsidRPr="00B05F15" w:rsidRDefault="00F009DF" w:rsidP="00822EFB">
            <w:pPr>
              <w:jc w:val="center"/>
              <w:rPr>
                <w:sz w:val="20"/>
                <w:szCs w:val="20"/>
              </w:rPr>
            </w:pPr>
            <w:bookmarkStart w:id="0" w:name="_GoBack"/>
            <w:bookmarkEnd w:id="0"/>
            <w:r w:rsidRPr="00B05F15">
              <w:rPr>
                <w:sz w:val="20"/>
                <w:szCs w:val="20"/>
              </w:rPr>
              <w:t>Independent Living</w:t>
            </w:r>
          </w:p>
          <w:p w14:paraId="305EE207" w14:textId="427F8D2B" w:rsidR="00F009DF" w:rsidRPr="00CE4C18" w:rsidRDefault="00E54316" w:rsidP="00822EFB">
            <w:pPr>
              <w:jc w:val="center"/>
              <w:rPr>
                <w:sz w:val="20"/>
                <w:szCs w:val="20"/>
              </w:rPr>
            </w:pPr>
            <w:r w:rsidRPr="00B05F15">
              <w:rPr>
                <w:sz w:val="20"/>
                <w:szCs w:val="20"/>
              </w:rPr>
              <w:t>Budgeting</w:t>
            </w:r>
            <w:r>
              <w:rPr>
                <w:sz w:val="20"/>
                <w:szCs w:val="20"/>
              </w:rPr>
              <w:t xml:space="preserve"> </w:t>
            </w:r>
          </w:p>
          <w:p w14:paraId="56A06731" w14:textId="62F21953" w:rsidR="00564E03" w:rsidRPr="00CE4C18" w:rsidRDefault="00564E03" w:rsidP="00F009DF">
            <w:pPr>
              <w:jc w:val="center"/>
              <w:rPr>
                <w:sz w:val="20"/>
                <w:szCs w:val="20"/>
              </w:rPr>
            </w:pPr>
          </w:p>
        </w:tc>
      </w:tr>
    </w:tbl>
    <w:p w14:paraId="28B40224" w14:textId="77777777" w:rsidR="00764E5B" w:rsidRDefault="00B05F15"/>
    <w:sectPr w:rsidR="00764E5B" w:rsidSect="00381920">
      <w:headerReference w:type="default" r:id="rId13"/>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7AA5F" w14:textId="77777777" w:rsidR="00361405" w:rsidRDefault="00361405" w:rsidP="004273C8">
      <w:pPr>
        <w:spacing w:after="0" w:line="240" w:lineRule="auto"/>
      </w:pPr>
      <w:r>
        <w:separator/>
      </w:r>
    </w:p>
  </w:endnote>
  <w:endnote w:type="continuationSeparator" w:id="0">
    <w:p w14:paraId="6B980ED8" w14:textId="77777777" w:rsidR="00361405" w:rsidRDefault="00361405"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923A0" w14:textId="77777777" w:rsidR="00361405" w:rsidRDefault="00361405" w:rsidP="004273C8">
      <w:pPr>
        <w:spacing w:after="0" w:line="240" w:lineRule="auto"/>
      </w:pPr>
      <w:r>
        <w:separator/>
      </w:r>
    </w:p>
  </w:footnote>
  <w:footnote w:type="continuationSeparator" w:id="0">
    <w:p w14:paraId="4F2EB60D" w14:textId="77777777" w:rsidR="00361405" w:rsidRDefault="00361405"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E0B1" w14:textId="5050F187" w:rsidR="004273C8" w:rsidRPr="004273C8" w:rsidRDefault="00FB135F" w:rsidP="004273C8">
    <w:pPr>
      <w:pStyle w:val="Header"/>
      <w:jc w:val="center"/>
      <w:rPr>
        <w:sz w:val="32"/>
        <w:szCs w:val="32"/>
      </w:rPr>
    </w:pPr>
    <w:r>
      <w:rPr>
        <w:sz w:val="32"/>
        <w:szCs w:val="32"/>
      </w:rPr>
      <w:t>Year 14</w:t>
    </w:r>
    <w:r w:rsidR="00F12FC2">
      <w:rPr>
        <w:sz w:val="32"/>
        <w:szCs w:val="32"/>
      </w:rPr>
      <w:t xml:space="preserve"> CURRICULUM OVERVIEW</w:t>
    </w:r>
    <w:r w:rsidR="00564E03">
      <w:rPr>
        <w:sz w:val="32"/>
        <w:szCs w:val="32"/>
      </w:rPr>
      <w:t xml:space="preserve"> AUTUMN TERM</w:t>
    </w:r>
    <w:r w:rsidR="00F12FC2">
      <w:rPr>
        <w:sz w:val="32"/>
        <w:szCs w:val="32"/>
      </w:rPr>
      <w:t xml:space="preserve"> 20</w:t>
    </w:r>
    <w:r w:rsidR="006B0B64">
      <w:rPr>
        <w:sz w:val="32"/>
        <w:szCs w:val="32"/>
      </w:rPr>
      <w:t>2</w:t>
    </w:r>
    <w:r w:rsidR="00253ADB">
      <w:rPr>
        <w:sz w:val="32"/>
        <w:szCs w:val="32"/>
      </w:rPr>
      <w:t>2/23</w:t>
    </w:r>
  </w:p>
  <w:p w14:paraId="5B8EC1F0"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C8"/>
    <w:rsid w:val="00022C03"/>
    <w:rsid w:val="000451F4"/>
    <w:rsid w:val="00056FC1"/>
    <w:rsid w:val="0019753A"/>
    <w:rsid w:val="00197847"/>
    <w:rsid w:val="00253ADB"/>
    <w:rsid w:val="002B3F68"/>
    <w:rsid w:val="002C3017"/>
    <w:rsid w:val="002C3833"/>
    <w:rsid w:val="00305F56"/>
    <w:rsid w:val="00361405"/>
    <w:rsid w:val="00381920"/>
    <w:rsid w:val="00397AA9"/>
    <w:rsid w:val="003A7D76"/>
    <w:rsid w:val="003C60F2"/>
    <w:rsid w:val="003D4B7F"/>
    <w:rsid w:val="004273C8"/>
    <w:rsid w:val="00492ECD"/>
    <w:rsid w:val="004F5D62"/>
    <w:rsid w:val="00560ED1"/>
    <w:rsid w:val="00564E03"/>
    <w:rsid w:val="005726BC"/>
    <w:rsid w:val="005767D4"/>
    <w:rsid w:val="005D048F"/>
    <w:rsid w:val="0065448E"/>
    <w:rsid w:val="0065696B"/>
    <w:rsid w:val="006B0B64"/>
    <w:rsid w:val="00700DEB"/>
    <w:rsid w:val="007160DF"/>
    <w:rsid w:val="00745F3B"/>
    <w:rsid w:val="00773EF4"/>
    <w:rsid w:val="007C7225"/>
    <w:rsid w:val="007E1046"/>
    <w:rsid w:val="008007D9"/>
    <w:rsid w:val="00817479"/>
    <w:rsid w:val="00822EFB"/>
    <w:rsid w:val="00831129"/>
    <w:rsid w:val="008742F6"/>
    <w:rsid w:val="008916DC"/>
    <w:rsid w:val="008925DC"/>
    <w:rsid w:val="008B2E48"/>
    <w:rsid w:val="008D19DD"/>
    <w:rsid w:val="0090568D"/>
    <w:rsid w:val="00984520"/>
    <w:rsid w:val="00986107"/>
    <w:rsid w:val="009A7B69"/>
    <w:rsid w:val="009D6B11"/>
    <w:rsid w:val="009E2682"/>
    <w:rsid w:val="009F19B3"/>
    <w:rsid w:val="00A70E3D"/>
    <w:rsid w:val="00AB23A2"/>
    <w:rsid w:val="00AC1CA1"/>
    <w:rsid w:val="00AC466F"/>
    <w:rsid w:val="00AD3330"/>
    <w:rsid w:val="00AE25C6"/>
    <w:rsid w:val="00AE2BE6"/>
    <w:rsid w:val="00AF3617"/>
    <w:rsid w:val="00B05F15"/>
    <w:rsid w:val="00B1592F"/>
    <w:rsid w:val="00B201AB"/>
    <w:rsid w:val="00B5785E"/>
    <w:rsid w:val="00BD19A0"/>
    <w:rsid w:val="00C76B48"/>
    <w:rsid w:val="00CD2DB2"/>
    <w:rsid w:val="00CE4C18"/>
    <w:rsid w:val="00D27701"/>
    <w:rsid w:val="00D82912"/>
    <w:rsid w:val="00DF16EB"/>
    <w:rsid w:val="00DF4EC8"/>
    <w:rsid w:val="00DF6834"/>
    <w:rsid w:val="00E54316"/>
    <w:rsid w:val="00E70C6B"/>
    <w:rsid w:val="00E84348"/>
    <w:rsid w:val="00EC77D5"/>
    <w:rsid w:val="00F009DF"/>
    <w:rsid w:val="00F12FC2"/>
    <w:rsid w:val="00F22C70"/>
    <w:rsid w:val="00F947B8"/>
    <w:rsid w:val="00FB135F"/>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31CD"/>
  <w15:docId w15:val="{707A4AE9-D322-4415-ABAF-0C981051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3603">
      <w:bodyDiv w:val="1"/>
      <w:marLeft w:val="0"/>
      <w:marRight w:val="0"/>
      <w:marTop w:val="0"/>
      <w:marBottom w:val="0"/>
      <w:divBdr>
        <w:top w:val="none" w:sz="0" w:space="0" w:color="auto"/>
        <w:left w:val="none" w:sz="0" w:space="0" w:color="auto"/>
        <w:bottom w:val="none" w:sz="0" w:space="0" w:color="auto"/>
        <w:right w:val="none" w:sz="0" w:space="0" w:color="auto"/>
      </w:divBdr>
    </w:div>
    <w:div w:id="964773832">
      <w:bodyDiv w:val="1"/>
      <w:marLeft w:val="0"/>
      <w:marRight w:val="0"/>
      <w:marTop w:val="0"/>
      <w:marBottom w:val="0"/>
      <w:divBdr>
        <w:top w:val="none" w:sz="0" w:space="0" w:color="auto"/>
        <w:left w:val="none" w:sz="0" w:space="0" w:color="auto"/>
        <w:bottom w:val="none" w:sz="0" w:space="0" w:color="auto"/>
        <w:right w:val="none" w:sz="0" w:space="0" w:color="auto"/>
      </w:divBdr>
    </w:div>
    <w:div w:id="1771663017">
      <w:bodyDiv w:val="1"/>
      <w:marLeft w:val="0"/>
      <w:marRight w:val="0"/>
      <w:marTop w:val="0"/>
      <w:marBottom w:val="0"/>
      <w:divBdr>
        <w:top w:val="none" w:sz="0" w:space="0" w:color="auto"/>
        <w:left w:val="none" w:sz="0" w:space="0" w:color="auto"/>
        <w:bottom w:val="none" w:sz="0" w:space="0" w:color="auto"/>
        <w:right w:val="none" w:sz="0" w:space="0" w:color="auto"/>
      </w:divBdr>
    </w:div>
    <w:div w:id="2106880874">
      <w:bodyDiv w:val="1"/>
      <w:marLeft w:val="0"/>
      <w:marRight w:val="0"/>
      <w:marTop w:val="0"/>
      <w:marBottom w:val="0"/>
      <w:divBdr>
        <w:top w:val="none" w:sz="0" w:space="0" w:color="auto"/>
        <w:left w:val="none" w:sz="0" w:space="0" w:color="auto"/>
        <w:bottom w:val="none" w:sz="0" w:space="0" w:color="auto"/>
        <w:right w:val="none" w:sz="0" w:space="0" w:color="auto"/>
      </w:divBdr>
    </w:div>
    <w:div w:id="21260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imgres?imgurl=https://councilfordisabledchildren.org.uk/sites/default/files/styles/listing/public/field/image/PfA_logo_xtra_large.gif?itok%3DkR91_G6q&amp;imgrefurl=https://councilfordisabledchildren.org.uk/help-resources/resources/pathfinder-information-pack-preparing-adulthood&amp;docid=EVv1sK2SWwcTfM&amp;tbnid=al-7z4H5jinfQM:&amp;vet=10ahUKEwiPzMqC-K_dAhXMC8AKHcM4Co4QMwg5KAYwBg..i&amp;w=548&amp;h=320&amp;safe=strict&amp;bih=673&amp;biw=1366&amp;q=Preparing%20for%20adulthood&amp;ved=0ahUKEwiPzMqC-K_dAhXMC8AKHcM4Co4QMwg5KAYwBg&amp;iact=mrc&amp;uact=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google.co.uk/imgres?imgurl=https://www.easternregiontraining.co.uk/wp-content/uploads/2017/11/37.png&amp;imgrefurl=https://www.easternregiontraining.co.uk/course/uncategorized/employability-skills-programme/&amp;docid=X_hdi9KjR5CWQM&amp;tbnid=z9VLUfcuYvAQWM:&amp;vet=10ahUKEwi_u_TVmqTdAhVTGsAKHXqBDOkQMwjdASgGMAY..i&amp;w=300&amp;h=296&amp;safe=strict&amp;bih=673&amp;biw=1366&amp;q=employability%20clip%20art&amp;ved=0ahUKEwi_u_TVmqTdAhVTGsAKHXqBDOkQMwjdASgGMAY&amp;iact=mrc&amp;uac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18</cp:revision>
  <cp:lastPrinted>2018-07-25T11:14:00Z</cp:lastPrinted>
  <dcterms:created xsi:type="dcterms:W3CDTF">2020-07-04T17:28:00Z</dcterms:created>
  <dcterms:modified xsi:type="dcterms:W3CDTF">2022-09-21T13:31:00Z</dcterms:modified>
</cp:coreProperties>
</file>